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74B8E" w14:textId="105842C1" w:rsidR="00842362" w:rsidRDefault="00842362">
      <w:pPr>
        <w:pStyle w:val="Heading1"/>
        <w:rPr>
          <w:rFonts w:ascii="Avenir Book" w:hAnsi="Avenir Book"/>
          <w:color w:val="000000" w:themeColor="text1"/>
        </w:rPr>
      </w:pPr>
      <w:r>
        <w:rPr>
          <w:rFonts w:ascii="Avenir Book" w:hAnsi="Avenir Book"/>
          <w:color w:val="000000" w:themeColor="text1"/>
        </w:rPr>
        <w:t xml:space="preserve">                                                      </w:t>
      </w:r>
      <w:r>
        <w:rPr>
          <w:rFonts w:ascii="Avenir Book" w:hAnsi="Avenir Book"/>
          <w:noProof/>
          <w:color w:val="000000" w:themeColor="text1"/>
        </w:rPr>
        <w:drawing>
          <wp:inline distT="0" distB="0" distL="0" distR="0" wp14:anchorId="6E185615" wp14:editId="62842DCF">
            <wp:extent cx="2767264" cy="756834"/>
            <wp:effectExtent l="0" t="0" r="1905" b="0"/>
            <wp:docPr id="160513294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132942" name="Picture 1" descr="A black background with a black square&#10;&#10;Description automatically generated with medium confidence"/>
                    <pic:cNvPicPr/>
                  </pic:nvPicPr>
                  <pic:blipFill>
                    <a:blip r:embed="rId6"/>
                    <a:stretch>
                      <a:fillRect/>
                    </a:stretch>
                  </pic:blipFill>
                  <pic:spPr>
                    <a:xfrm>
                      <a:off x="0" y="0"/>
                      <a:ext cx="2832384" cy="774644"/>
                    </a:xfrm>
                    <a:prstGeom prst="rect">
                      <a:avLst/>
                    </a:prstGeom>
                  </pic:spPr>
                </pic:pic>
              </a:graphicData>
            </a:graphic>
          </wp:inline>
        </w:drawing>
      </w:r>
    </w:p>
    <w:p w14:paraId="35B55F18" w14:textId="4AE26FC9" w:rsidR="00397293" w:rsidRPr="00761F0D" w:rsidRDefault="00000000">
      <w:pPr>
        <w:pStyle w:val="Heading1"/>
        <w:rPr>
          <w:rFonts w:ascii="Avenir Book" w:hAnsi="Avenir Book"/>
          <w:color w:val="000000" w:themeColor="text1"/>
        </w:rPr>
      </w:pPr>
      <w:r w:rsidRPr="00761F0D">
        <w:rPr>
          <w:rFonts w:ascii="Avenir Book" w:hAnsi="Avenir Book"/>
          <w:color w:val="000000" w:themeColor="text1"/>
        </w:rPr>
        <w:t xml:space="preserve">Sustainability </w:t>
      </w:r>
      <w:r w:rsidR="00761F0D" w:rsidRPr="00761F0D">
        <w:rPr>
          <w:rFonts w:ascii="Avenir Book" w:hAnsi="Avenir Book"/>
          <w:color w:val="000000" w:themeColor="text1"/>
        </w:rPr>
        <w:t>Best Practices,</w:t>
      </w:r>
      <w:r w:rsidRPr="00761F0D">
        <w:rPr>
          <w:rFonts w:ascii="Avenir Book" w:hAnsi="Avenir Book"/>
          <w:color w:val="000000" w:themeColor="text1"/>
        </w:rPr>
        <w:t xml:space="preserve"> </w:t>
      </w:r>
      <w:r w:rsidR="00761F0D" w:rsidRPr="00761F0D">
        <w:rPr>
          <w:rFonts w:ascii="Avenir Book" w:hAnsi="Avenir Book"/>
          <w:color w:val="000000" w:themeColor="text1"/>
        </w:rPr>
        <w:t>with</w:t>
      </w:r>
      <w:r w:rsidRPr="00761F0D">
        <w:rPr>
          <w:rFonts w:ascii="Avenir Book" w:hAnsi="Avenir Book"/>
          <w:color w:val="000000" w:themeColor="text1"/>
        </w:rPr>
        <w:t xml:space="preserve"> Jennifer Gootman at Tory Burch</w:t>
      </w:r>
    </w:p>
    <w:p w14:paraId="6299817F" w14:textId="41362249" w:rsidR="00761F0D" w:rsidRPr="00761F0D" w:rsidRDefault="00761F0D" w:rsidP="00761F0D">
      <w:pPr>
        <w:rPr>
          <w:rFonts w:ascii="Avenir Book" w:hAnsi="Avenir Book"/>
          <w:color w:val="000000" w:themeColor="text1"/>
        </w:rPr>
      </w:pPr>
      <w:r>
        <w:rPr>
          <w:rFonts w:ascii="Avenir Book" w:hAnsi="Avenir Book"/>
          <w:color w:val="000000" w:themeColor="text1"/>
        </w:rPr>
        <w:br/>
      </w:r>
      <w:r w:rsidRPr="00761F0D">
        <w:rPr>
          <w:rFonts w:ascii="Avenir Book" w:hAnsi="Avenir Book"/>
          <w:color w:val="000000" w:themeColor="text1"/>
        </w:rPr>
        <w:t>Here are ten highlights from Jennifer Gootman's discussion on sustainability at Tory Burch, with a focus on her innovative approaches and strategies</w:t>
      </w:r>
      <w:r>
        <w:rPr>
          <w:rFonts w:ascii="Avenir Book" w:hAnsi="Avenir Book"/>
          <w:color w:val="000000" w:themeColor="text1"/>
        </w:rPr>
        <w:t>. This InnoLead members meeting took place on December 6, 2024.</w:t>
      </w:r>
    </w:p>
    <w:p w14:paraId="0A0DE8F9" w14:textId="77777777" w:rsidR="00397293" w:rsidRPr="00761F0D" w:rsidRDefault="00000000">
      <w:pPr>
        <w:pStyle w:val="Heading2"/>
        <w:rPr>
          <w:rFonts w:ascii="Avenir Book" w:hAnsi="Avenir Book"/>
          <w:color w:val="000000" w:themeColor="text1"/>
        </w:rPr>
      </w:pPr>
      <w:r w:rsidRPr="00761F0D">
        <w:rPr>
          <w:rFonts w:ascii="Avenir Book" w:hAnsi="Avenir Book"/>
          <w:color w:val="000000" w:themeColor="text1"/>
        </w:rPr>
        <w:t>Building from Scratch</w:t>
      </w:r>
    </w:p>
    <w:p w14:paraId="52AF5659" w14:textId="6B00302D" w:rsidR="00397293" w:rsidRPr="00761F0D" w:rsidRDefault="00761F0D">
      <w:pPr>
        <w:rPr>
          <w:rFonts w:ascii="Avenir Book" w:hAnsi="Avenir Book"/>
          <w:color w:val="000000" w:themeColor="text1"/>
        </w:rPr>
      </w:pPr>
      <w:r>
        <w:rPr>
          <w:rFonts w:ascii="Avenir Book" w:hAnsi="Avenir Book"/>
          <w:color w:val="000000" w:themeColor="text1"/>
        </w:rPr>
        <w:t>Gootman</w:t>
      </w:r>
      <w:r w:rsidR="00000000" w:rsidRPr="00761F0D">
        <w:rPr>
          <w:rFonts w:ascii="Avenir Book" w:hAnsi="Avenir Book"/>
          <w:color w:val="000000" w:themeColor="text1"/>
        </w:rPr>
        <w:t xml:space="preserve"> highlighted that she is the first in her role at Tory Burch, building the entire sustainability and ESG function from scratch. She advises sustainability leaders to align their work with core business values and focus on embedding sustainability into everyday processes rather than treating it as a standalone initiative.</w:t>
      </w:r>
    </w:p>
    <w:p w14:paraId="2B906F85" w14:textId="77777777" w:rsidR="00397293" w:rsidRPr="00761F0D" w:rsidRDefault="00000000">
      <w:pPr>
        <w:pStyle w:val="Heading2"/>
        <w:rPr>
          <w:rFonts w:ascii="Avenir Book" w:hAnsi="Avenir Book"/>
          <w:color w:val="000000" w:themeColor="text1"/>
        </w:rPr>
      </w:pPr>
      <w:r w:rsidRPr="00761F0D">
        <w:rPr>
          <w:rFonts w:ascii="Avenir Book" w:hAnsi="Avenir Book"/>
          <w:color w:val="000000" w:themeColor="text1"/>
        </w:rPr>
        <w:t>"I Call Everything a Pilot"</w:t>
      </w:r>
    </w:p>
    <w:p w14:paraId="5F131D54" w14:textId="77777777" w:rsidR="00397293" w:rsidRPr="00761F0D" w:rsidRDefault="00000000">
      <w:pPr>
        <w:rPr>
          <w:rFonts w:ascii="Avenir Book" w:hAnsi="Avenir Book"/>
          <w:color w:val="000000" w:themeColor="text1"/>
        </w:rPr>
      </w:pPr>
      <w:r w:rsidRPr="00761F0D">
        <w:rPr>
          <w:rFonts w:ascii="Avenir Book" w:hAnsi="Avenir Book"/>
          <w:color w:val="000000" w:themeColor="text1"/>
        </w:rPr>
        <w:t>Gootman recommends framing new initiatives as pilots to reduce resistance and foster adoption. She stated: "I call everything a pilot, because people aren't scared of pilots, but they’re scared of taking new things on," advising sustainability leaders to use this approach to encourage experimentation and gradual scaling.</w:t>
      </w:r>
    </w:p>
    <w:p w14:paraId="7B58FB73" w14:textId="77777777" w:rsidR="00397293" w:rsidRPr="00761F0D" w:rsidRDefault="00000000">
      <w:pPr>
        <w:pStyle w:val="Heading2"/>
        <w:rPr>
          <w:rFonts w:ascii="Avenir Book" w:hAnsi="Avenir Book"/>
          <w:color w:val="000000" w:themeColor="text1"/>
        </w:rPr>
      </w:pPr>
      <w:r w:rsidRPr="00761F0D">
        <w:rPr>
          <w:rFonts w:ascii="Avenir Book" w:hAnsi="Avenir Book"/>
          <w:color w:val="000000" w:themeColor="text1"/>
        </w:rPr>
        <w:t>Understand Supply Chain Complexity</w:t>
      </w:r>
    </w:p>
    <w:p w14:paraId="1FB3661D" w14:textId="77777777" w:rsidR="00397293" w:rsidRPr="00761F0D" w:rsidRDefault="00000000">
      <w:pPr>
        <w:rPr>
          <w:rFonts w:ascii="Avenir Book" w:hAnsi="Avenir Book"/>
          <w:color w:val="000000" w:themeColor="text1"/>
        </w:rPr>
      </w:pPr>
      <w:r w:rsidRPr="00761F0D">
        <w:rPr>
          <w:rFonts w:ascii="Avenir Book" w:hAnsi="Avenir Book"/>
          <w:color w:val="000000" w:themeColor="text1"/>
        </w:rPr>
        <w:t>Gootman described the importance of deeply understanding supply chain dynamics, including upstream and downstream impacts. She suggests building long-term partnerships with suppliers and investing time in understanding their processes to drive meaningful change collaboratively.</w:t>
      </w:r>
    </w:p>
    <w:p w14:paraId="40611943" w14:textId="262DA3C8" w:rsidR="00397293" w:rsidRPr="00761F0D" w:rsidRDefault="00761F0D">
      <w:pPr>
        <w:pStyle w:val="Heading2"/>
        <w:rPr>
          <w:rFonts w:ascii="Avenir Book" w:hAnsi="Avenir Book"/>
          <w:color w:val="000000" w:themeColor="text1"/>
        </w:rPr>
      </w:pPr>
      <w:r>
        <w:rPr>
          <w:rFonts w:ascii="Avenir Book" w:hAnsi="Avenir Book"/>
          <w:color w:val="000000" w:themeColor="text1"/>
        </w:rPr>
        <w:t>Changing Behavior is Never Easy</w:t>
      </w:r>
    </w:p>
    <w:p w14:paraId="6812F80E" w14:textId="77777777" w:rsidR="00397293" w:rsidRPr="00761F0D" w:rsidRDefault="00000000">
      <w:pPr>
        <w:rPr>
          <w:rFonts w:ascii="Avenir Book" w:hAnsi="Avenir Book"/>
          <w:color w:val="000000" w:themeColor="text1"/>
        </w:rPr>
      </w:pPr>
      <w:r w:rsidRPr="00761F0D">
        <w:rPr>
          <w:rFonts w:ascii="Avenir Book" w:hAnsi="Avenir Book"/>
          <w:color w:val="000000" w:themeColor="text1"/>
        </w:rPr>
        <w:t>Gootman emphasized that influencing behavior within organizations is crucial but challenging. She advises sustainability professionals to focus on demonstrating the value of change, using storytelling and data to motivate teams to adopt new practices.</w:t>
      </w:r>
    </w:p>
    <w:p w14:paraId="3AC30D53" w14:textId="77777777" w:rsidR="00397293" w:rsidRPr="00761F0D" w:rsidRDefault="00000000">
      <w:pPr>
        <w:pStyle w:val="Heading2"/>
        <w:rPr>
          <w:rFonts w:ascii="Avenir Book" w:hAnsi="Avenir Book"/>
          <w:color w:val="000000" w:themeColor="text1"/>
        </w:rPr>
      </w:pPr>
      <w:r w:rsidRPr="00761F0D">
        <w:rPr>
          <w:rFonts w:ascii="Avenir Book" w:hAnsi="Avenir Book"/>
          <w:color w:val="000000" w:themeColor="text1"/>
        </w:rPr>
        <w:t>Prioritize Material Innovation</w:t>
      </w:r>
    </w:p>
    <w:p w14:paraId="67E2F3A1" w14:textId="77777777" w:rsidR="00397293" w:rsidRPr="00761F0D" w:rsidRDefault="00000000">
      <w:pPr>
        <w:rPr>
          <w:rFonts w:ascii="Avenir Book" w:hAnsi="Avenir Book"/>
          <w:color w:val="000000" w:themeColor="text1"/>
        </w:rPr>
      </w:pPr>
      <w:r w:rsidRPr="00761F0D">
        <w:rPr>
          <w:rFonts w:ascii="Avenir Book" w:hAnsi="Avenir Book"/>
          <w:color w:val="000000" w:themeColor="text1"/>
        </w:rPr>
        <w:t xml:space="preserve">Gootman highlighted the impact of transitioning to lower-impact materials like biotech alternatives to fossil fuels. She advises integrating sustainability goals with design </w:t>
      </w:r>
      <w:r w:rsidRPr="00761F0D">
        <w:rPr>
          <w:rFonts w:ascii="Avenir Book" w:hAnsi="Avenir Book"/>
          <w:color w:val="000000" w:themeColor="text1"/>
        </w:rPr>
        <w:lastRenderedPageBreak/>
        <w:t>innovation, emphasizing that new materials must align with quality and durability standards to succeed.</w:t>
      </w:r>
    </w:p>
    <w:p w14:paraId="08A95676" w14:textId="77777777" w:rsidR="00397293" w:rsidRPr="00761F0D" w:rsidRDefault="00000000">
      <w:pPr>
        <w:pStyle w:val="Heading2"/>
        <w:rPr>
          <w:rFonts w:ascii="Avenir Book" w:hAnsi="Avenir Book"/>
          <w:color w:val="000000" w:themeColor="text1"/>
        </w:rPr>
      </w:pPr>
      <w:r w:rsidRPr="00761F0D">
        <w:rPr>
          <w:rFonts w:ascii="Avenir Book" w:hAnsi="Avenir Book"/>
          <w:color w:val="000000" w:themeColor="text1"/>
        </w:rPr>
        <w:t>Use Storytelling to Inspire Action</w:t>
      </w:r>
    </w:p>
    <w:p w14:paraId="6366A0B7" w14:textId="77777777" w:rsidR="00397293" w:rsidRPr="00761F0D" w:rsidRDefault="00000000">
      <w:pPr>
        <w:rPr>
          <w:rFonts w:ascii="Avenir Book" w:hAnsi="Avenir Book"/>
          <w:color w:val="000000" w:themeColor="text1"/>
        </w:rPr>
      </w:pPr>
      <w:r w:rsidRPr="00761F0D">
        <w:rPr>
          <w:rFonts w:ascii="Avenir Book" w:hAnsi="Avenir Book"/>
          <w:color w:val="000000" w:themeColor="text1"/>
        </w:rPr>
        <w:t>Gootman leverages storytelling to connect teams and consumers to the origins and impacts of materials. She recommends showcasing supplier stories and the journey of products to foster deeper engagement with sustainability efforts.</w:t>
      </w:r>
    </w:p>
    <w:p w14:paraId="733080FE" w14:textId="77777777" w:rsidR="00397293" w:rsidRPr="00761F0D" w:rsidRDefault="00000000">
      <w:pPr>
        <w:pStyle w:val="Heading2"/>
        <w:rPr>
          <w:rFonts w:ascii="Avenir Book" w:hAnsi="Avenir Book"/>
          <w:color w:val="000000" w:themeColor="text1"/>
        </w:rPr>
      </w:pPr>
      <w:r w:rsidRPr="00761F0D">
        <w:rPr>
          <w:rFonts w:ascii="Avenir Book" w:hAnsi="Avenir Book"/>
          <w:color w:val="000000" w:themeColor="text1"/>
        </w:rPr>
        <w:t>Focus on the "Nuts and Bolts"</w:t>
      </w:r>
    </w:p>
    <w:p w14:paraId="26D17B6C" w14:textId="77777777" w:rsidR="00397293" w:rsidRPr="00761F0D" w:rsidRDefault="00000000">
      <w:pPr>
        <w:rPr>
          <w:rFonts w:ascii="Avenir Book" w:hAnsi="Avenir Book"/>
          <w:color w:val="000000" w:themeColor="text1"/>
        </w:rPr>
      </w:pPr>
      <w:r w:rsidRPr="00761F0D">
        <w:rPr>
          <w:rFonts w:ascii="Avenir Book" w:hAnsi="Avenir Book"/>
          <w:color w:val="000000" w:themeColor="text1"/>
        </w:rPr>
        <w:t>Gootman stressed the importance of addressing unglamorous but impactful aspects, like switching to more sustainable linings, threads, and edge paints. She advises prioritizing these common components to achieve significant environmental benefits across multiple products.</w:t>
      </w:r>
    </w:p>
    <w:p w14:paraId="4D78AE55" w14:textId="77777777" w:rsidR="00397293" w:rsidRPr="00761F0D" w:rsidRDefault="00000000">
      <w:pPr>
        <w:pStyle w:val="Heading2"/>
        <w:rPr>
          <w:rFonts w:ascii="Avenir Book" w:hAnsi="Avenir Book"/>
          <w:color w:val="000000" w:themeColor="text1"/>
        </w:rPr>
      </w:pPr>
      <w:r w:rsidRPr="00761F0D">
        <w:rPr>
          <w:rFonts w:ascii="Avenir Book" w:hAnsi="Avenir Book"/>
          <w:color w:val="000000" w:themeColor="text1"/>
        </w:rPr>
        <w:t>Leverage Industry Partnerships</w:t>
      </w:r>
    </w:p>
    <w:p w14:paraId="29C4D363" w14:textId="77777777" w:rsidR="00397293" w:rsidRPr="00761F0D" w:rsidRDefault="00000000">
      <w:pPr>
        <w:rPr>
          <w:rFonts w:ascii="Avenir Book" w:hAnsi="Avenir Book"/>
          <w:color w:val="000000" w:themeColor="text1"/>
        </w:rPr>
      </w:pPr>
      <w:r w:rsidRPr="00761F0D">
        <w:rPr>
          <w:rFonts w:ascii="Avenir Book" w:hAnsi="Avenir Book"/>
          <w:color w:val="000000" w:themeColor="text1"/>
        </w:rPr>
        <w:t>Gootman advises working closely with like-minded brands and industry groups to share resources and achieve common sustainability goals. These collaborations can amplify impact and provide support for implementing new practices across supply chains.</w:t>
      </w:r>
    </w:p>
    <w:p w14:paraId="7EEE5501" w14:textId="77777777" w:rsidR="00397293" w:rsidRPr="00761F0D" w:rsidRDefault="00000000">
      <w:pPr>
        <w:pStyle w:val="Heading2"/>
        <w:rPr>
          <w:rFonts w:ascii="Avenir Book" w:hAnsi="Avenir Book"/>
          <w:color w:val="000000" w:themeColor="text1"/>
        </w:rPr>
      </w:pPr>
      <w:r w:rsidRPr="00761F0D">
        <w:rPr>
          <w:rFonts w:ascii="Avenir Book" w:hAnsi="Avenir Book"/>
          <w:color w:val="000000" w:themeColor="text1"/>
        </w:rPr>
        <w:t>Make Data Actionable</w:t>
      </w:r>
    </w:p>
    <w:p w14:paraId="183FF19D" w14:textId="700AAD0B" w:rsidR="00397293" w:rsidRPr="00761F0D" w:rsidRDefault="00000000">
      <w:pPr>
        <w:rPr>
          <w:rFonts w:ascii="Avenir Book" w:hAnsi="Avenir Book"/>
          <w:color w:val="000000" w:themeColor="text1"/>
        </w:rPr>
      </w:pPr>
      <w:r w:rsidRPr="00761F0D">
        <w:rPr>
          <w:rFonts w:ascii="Avenir Book" w:hAnsi="Avenir Book"/>
          <w:color w:val="000000" w:themeColor="text1"/>
        </w:rPr>
        <w:t>Gootman highlighted the importance of integrating sustainability data into financial systems</w:t>
      </w:r>
      <w:r w:rsidR="00761F0D">
        <w:rPr>
          <w:rFonts w:ascii="Avenir Book" w:hAnsi="Avenir Book"/>
          <w:color w:val="000000" w:themeColor="text1"/>
        </w:rPr>
        <w:t xml:space="preserve">, like Product Lifecycle Management, </w:t>
      </w:r>
      <w:r w:rsidRPr="00761F0D">
        <w:rPr>
          <w:rFonts w:ascii="Avenir Book" w:hAnsi="Avenir Book"/>
          <w:color w:val="000000" w:themeColor="text1"/>
        </w:rPr>
        <w:t>to build strong business cases. She recommends using this data to demonstrate cost savings and align sustainability goals with business objectives to secure buy-in.</w:t>
      </w:r>
    </w:p>
    <w:p w14:paraId="6824DD3D" w14:textId="77777777" w:rsidR="00397293" w:rsidRPr="00761F0D" w:rsidRDefault="00000000">
      <w:pPr>
        <w:pStyle w:val="Heading2"/>
        <w:rPr>
          <w:rFonts w:ascii="Avenir Book" w:hAnsi="Avenir Book"/>
          <w:color w:val="000000" w:themeColor="text1"/>
        </w:rPr>
      </w:pPr>
      <w:r w:rsidRPr="00761F0D">
        <w:rPr>
          <w:rFonts w:ascii="Avenir Book" w:hAnsi="Avenir Book"/>
          <w:color w:val="000000" w:themeColor="text1"/>
        </w:rPr>
        <w:t>Balance Authenticity with Strategy</w:t>
      </w:r>
    </w:p>
    <w:p w14:paraId="694858C1" w14:textId="77777777" w:rsidR="00397293" w:rsidRPr="00761F0D" w:rsidRDefault="00000000">
      <w:pPr>
        <w:rPr>
          <w:rFonts w:ascii="Avenir Book" w:hAnsi="Avenir Book"/>
          <w:color w:val="000000" w:themeColor="text1"/>
        </w:rPr>
      </w:pPr>
      <w:r w:rsidRPr="00761F0D">
        <w:rPr>
          <w:rFonts w:ascii="Avenir Book" w:hAnsi="Avenir Book"/>
          <w:color w:val="000000" w:themeColor="text1"/>
        </w:rPr>
        <w:t>Gootman pointed out the risks of setting unrealistic goals and advises focusing on authentic, actionable commitments. She recommends creating realistic strategies that align with the company’s capabilities and focusing on meaningful, long-term impact.</w:t>
      </w:r>
    </w:p>
    <w:sectPr w:rsidR="00397293" w:rsidRPr="00761F0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25444167">
    <w:abstractNumId w:val="8"/>
  </w:num>
  <w:num w:numId="2" w16cid:durableId="1019966325">
    <w:abstractNumId w:val="6"/>
  </w:num>
  <w:num w:numId="3" w16cid:durableId="1873305287">
    <w:abstractNumId w:val="5"/>
  </w:num>
  <w:num w:numId="4" w16cid:durableId="1457522113">
    <w:abstractNumId w:val="4"/>
  </w:num>
  <w:num w:numId="5" w16cid:durableId="1131558526">
    <w:abstractNumId w:val="7"/>
  </w:num>
  <w:num w:numId="6" w16cid:durableId="97918954">
    <w:abstractNumId w:val="3"/>
  </w:num>
  <w:num w:numId="7" w16cid:durableId="1177689657">
    <w:abstractNumId w:val="2"/>
  </w:num>
  <w:num w:numId="8" w16cid:durableId="308902947">
    <w:abstractNumId w:val="1"/>
  </w:num>
  <w:num w:numId="9" w16cid:durableId="548030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348DE"/>
    <w:rsid w:val="00397293"/>
    <w:rsid w:val="00761F0D"/>
    <w:rsid w:val="00842362"/>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B4DEA7"/>
  <w14:defaultImageDpi w14:val="300"/>
  <w15:docId w15:val="{D76CDE2C-A922-5E45-B271-9B60D23C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Scott Kirsner</cp:lastModifiedBy>
  <cp:revision>3</cp:revision>
  <dcterms:created xsi:type="dcterms:W3CDTF">2024-12-06T22:18:00Z</dcterms:created>
  <dcterms:modified xsi:type="dcterms:W3CDTF">2024-12-06T22:19:00Z</dcterms:modified>
  <cp:category/>
</cp:coreProperties>
</file>