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t>Startup POC Agreement Term Sheet</w:t>
      </w:r>
    </w:p>
    <w:p>
      <w:pPr>
        <w:pBdr>
          <w:bottom w:val="single" w:sz="12" w:space="4" w:color="00B3C7"/>
        </w:pBdr>
      </w:pPr>
      <w:r>
        <w:rPr>
          <w:rFonts w:ascii="Arial" w:hAnsi="Arial"/>
          <w:color w:val="6B7280"/>
          <w:sz w:val="20"/>
        </w:rPr>
        <w:t>Non-binding term sheet for a corporate / startup proof-of-concept engagement</w:t>
      </w:r>
    </w:p>
    <w:p>
      <w:pPr>
        <w:spacing w:after="120"/>
      </w:pPr>
      <w:r>
        <w:rPr>
          <w:i w:val="0"/>
          <w:color w:val="6B7280"/>
        </w:rPr>
        <w:t>This term sheet summarises the principal terms of a proposed proof-of-concept (POC) between the Corporate Sponsor and the Startup. It is non-binding except for the confidentiality, exclusivity and governing-law provisions. Replace all bracketed text before circulating.</w:t>
      </w:r>
    </w:p>
    <w:p>
      <w:pPr>
        <w:pStyle w:val="Heading1"/>
        <w:spacing w:before="280" w:after="80"/>
      </w:pPr>
      <w:r>
        <w:t>1. Parties and Engagement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3312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Item</w:t>
            </w:r>
          </w:p>
        </w:tc>
        <w:tc>
          <w:tcPr>
            <w:tcW w:type="dxa" w:w="6336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Detail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Corporate sponsor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[Legal entity name, registered address]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Business unit / sponsor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[BU], [Executive sponsor name and title]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Startup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[Legal entity name, registered address]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Startup signatory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[Name, title]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Solution / technology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[Short description of the product being piloted]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Engagement type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Paid POC / Unpaid POC / Funded pilot</w:t>
            </w:r>
          </w:p>
        </w:tc>
      </w:tr>
    </w:tbl>
    <w:p>
      <w:pPr>
        <w:pStyle w:val="Heading1"/>
        <w:spacing w:before="280" w:after="80"/>
      </w:pPr>
      <w:r>
        <w:t>2. Scope of the Proof of Concept</w:t>
      </w:r>
    </w:p>
    <w:p>
      <w:pPr>
        <w:pStyle w:val="Heading2"/>
        <w:spacing w:before="200" w:after="40"/>
      </w:pPr>
      <w:r>
        <w:t>Objective</w:t>
      </w:r>
    </w:p>
    <w:p>
      <w:pPr>
        <w:spacing w:after="120"/>
      </w:pPr>
      <w:r>
        <w:rPr>
          <w:i w:val="0"/>
        </w:rPr>
        <w:t>[State the single business problem the POC must answer, e.g. "Determine whether the platform can reduce manual invoice handling time by at least 30% in the shared services centre."]</w:t>
      </w:r>
    </w:p>
    <w:p>
      <w:pPr>
        <w:pStyle w:val="Heading2"/>
        <w:spacing w:before="200" w:after="40"/>
      </w:pPr>
      <w:r>
        <w:t>In scope</w:t>
      </w:r>
    </w:p>
    <w:p>
      <w:pPr>
        <w:pStyle w:val="ListBullet"/>
        <w:spacing w:after="40"/>
      </w:pPr>
      <w:r>
        <w:t>[Use case 1]</w:t>
      </w:r>
    </w:p>
    <w:p>
      <w:pPr>
        <w:pStyle w:val="ListBullet"/>
        <w:spacing w:after="40"/>
      </w:pPr>
      <w:r>
        <w:t>[Use case 2]</w:t>
      </w:r>
    </w:p>
    <w:p>
      <w:pPr>
        <w:pStyle w:val="ListBullet"/>
        <w:spacing w:after="40"/>
      </w:pPr>
      <w:r>
        <w:t>[Systems, sites or teams included]</w:t>
      </w:r>
    </w:p>
    <w:p>
      <w:pPr>
        <w:pStyle w:val="Heading2"/>
        <w:spacing w:before="200" w:after="40"/>
      </w:pPr>
      <w:r>
        <w:t>Out of scope</w:t>
      </w:r>
    </w:p>
    <w:p>
      <w:pPr>
        <w:pStyle w:val="ListBullet"/>
        <w:spacing w:after="40"/>
      </w:pPr>
      <w:r>
        <w:t>[Production deployment]</w:t>
      </w:r>
    </w:p>
    <w:p>
      <w:pPr>
        <w:pStyle w:val="ListBullet"/>
        <w:spacing w:after="40"/>
      </w:pPr>
      <w:r>
        <w:t>[Integration with systems not listed above]</w:t>
      </w:r>
    </w:p>
    <w:p>
      <w:pPr>
        <w:pStyle w:val="ListBullet"/>
        <w:spacing w:after="40"/>
      </w:pPr>
      <w:r>
        <w:t>[Any change to existing contracts]</w:t>
      </w:r>
    </w:p>
    <w:p>
      <w:pPr>
        <w:pStyle w:val="Heading1"/>
        <w:spacing w:before="280" w:after="80"/>
      </w:pPr>
      <w:r>
        <w:t>3. Success Criteria</w:t>
      </w:r>
    </w:p>
    <w:p>
      <w:pPr>
        <w:spacing w:after="120"/>
      </w:pPr>
      <w:r>
        <w:rPr>
          <w:i w:val="0"/>
        </w:rPr>
        <w:t>The POC is deemed successful only if all mandatory criteria are met and evidenced.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30"/>
        <w:gridCol w:w="1930"/>
        <w:gridCol w:w="1930"/>
        <w:gridCol w:w="1930"/>
        <w:gridCol w:w="1930"/>
      </w:tblGrid>
      <w:tr>
        <w:tc>
          <w:tcPr>
            <w:tcW w:type="dxa" w:w="576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#</w:t>
            </w:r>
          </w:p>
        </w:tc>
        <w:tc>
          <w:tcPr>
            <w:tcW w:type="dxa" w:w="2880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Success criterion</w:t>
            </w:r>
          </w:p>
        </w:tc>
        <w:tc>
          <w:tcPr>
            <w:tcW w:type="dxa" w:w="2736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Metric / threshold</w:t>
            </w:r>
          </w:p>
        </w:tc>
        <w:tc>
          <w:tcPr>
            <w:tcW w:type="dxa" w:w="1296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Mandatory?</w:t>
            </w:r>
          </w:p>
        </w:tc>
        <w:tc>
          <w:tcPr>
            <w:tcW w:type="dxa" w:w="2160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Measured by</w:t>
            </w:r>
          </w:p>
        </w:tc>
      </w:tr>
      <w:tr>
        <w:tc>
          <w:tcPr>
            <w:tcW w:type="dxa" w:w="576"/>
          </w:tcPr>
          <w:p>
            <w:r/>
            <w:r>
              <w:rPr>
                <w:rFonts w:ascii="Arial" w:hAnsi="Arial"/>
                <w:sz w:val="19"/>
              </w:rPr>
              <w:t>1</w:t>
            </w:r>
          </w:p>
        </w:tc>
        <w:tc>
          <w:tcPr>
            <w:tcW w:type="dxa" w:w="2880"/>
          </w:tcPr>
          <w:p>
            <w:r/>
            <w:r>
              <w:rPr>
                <w:rFonts w:ascii="Arial" w:hAnsi="Arial"/>
                <w:sz w:val="19"/>
              </w:rPr>
              <w:t>[Criterion]</w:t>
            </w:r>
          </w:p>
        </w:tc>
        <w:tc>
          <w:tcPr>
            <w:tcW w:type="dxa" w:w="2736"/>
          </w:tcPr>
          <w:p>
            <w:r/>
            <w:r>
              <w:rPr>
                <w:rFonts w:ascii="Arial" w:hAnsi="Arial"/>
                <w:sz w:val="19"/>
              </w:rPr>
              <w:t>[e.g. &gt;= 30% cycle-time reduction]</w:t>
            </w:r>
          </w:p>
        </w:tc>
        <w:tc>
          <w:tcPr>
            <w:tcW w:type="dxa" w:w="1296"/>
          </w:tcPr>
          <w:p>
            <w:r/>
            <w:r>
              <w:rPr>
                <w:rFonts w:ascii="Arial" w:hAnsi="Arial"/>
                <w:sz w:val="19"/>
              </w:rPr>
              <w:t>Yes</w:t>
            </w:r>
          </w:p>
        </w:tc>
        <w:tc>
          <w:tcPr>
            <w:tcW w:type="dxa" w:w="2160"/>
          </w:tcPr>
          <w:p>
            <w:r/>
            <w:r>
              <w:rPr>
                <w:rFonts w:ascii="Arial" w:hAnsi="Arial"/>
                <w:sz w:val="19"/>
              </w:rPr>
              <w:t>[Owner]</w:t>
            </w:r>
          </w:p>
        </w:tc>
      </w:tr>
      <w:tr>
        <w:tc>
          <w:tcPr>
            <w:tcW w:type="dxa" w:w="576"/>
          </w:tcPr>
          <w:p>
            <w:r/>
            <w:r>
              <w:rPr>
                <w:rFonts w:ascii="Arial" w:hAnsi="Arial"/>
                <w:sz w:val="19"/>
              </w:rPr>
              <w:t>2</w:t>
            </w:r>
          </w:p>
        </w:tc>
        <w:tc>
          <w:tcPr>
            <w:tcW w:type="dxa" w:w="2880"/>
          </w:tcPr>
          <w:p>
            <w:r/>
            <w:r>
              <w:rPr>
                <w:rFonts w:ascii="Arial" w:hAnsi="Arial"/>
                <w:sz w:val="19"/>
              </w:rPr>
              <w:t>[Criterion]</w:t>
            </w:r>
          </w:p>
        </w:tc>
        <w:tc>
          <w:tcPr>
            <w:tcW w:type="dxa" w:w="2736"/>
          </w:tcPr>
          <w:p>
            <w:r/>
            <w:r>
              <w:rPr>
                <w:rFonts w:ascii="Arial" w:hAnsi="Arial"/>
                <w:sz w:val="19"/>
              </w:rPr>
              <w:t>[e.g. &lt;= 2% error rate]</w:t>
            </w:r>
          </w:p>
        </w:tc>
        <w:tc>
          <w:tcPr>
            <w:tcW w:type="dxa" w:w="1296"/>
          </w:tcPr>
          <w:p>
            <w:r/>
            <w:r>
              <w:rPr>
                <w:rFonts w:ascii="Arial" w:hAnsi="Arial"/>
                <w:sz w:val="19"/>
              </w:rPr>
              <w:t>Yes</w:t>
            </w:r>
          </w:p>
        </w:tc>
        <w:tc>
          <w:tcPr>
            <w:tcW w:type="dxa" w:w="2160"/>
          </w:tcPr>
          <w:p>
            <w:r/>
            <w:r>
              <w:rPr>
                <w:rFonts w:ascii="Arial" w:hAnsi="Arial"/>
                <w:sz w:val="19"/>
              </w:rPr>
              <w:t>[Owner]</w:t>
            </w:r>
          </w:p>
        </w:tc>
      </w:tr>
      <w:tr>
        <w:tc>
          <w:tcPr>
            <w:tcW w:type="dxa" w:w="576"/>
          </w:tcPr>
          <w:p>
            <w:r/>
            <w:r>
              <w:rPr>
                <w:rFonts w:ascii="Arial" w:hAnsi="Arial"/>
                <w:sz w:val="19"/>
              </w:rPr>
              <w:t>3</w:t>
            </w:r>
          </w:p>
        </w:tc>
        <w:tc>
          <w:tcPr>
            <w:tcW w:type="dxa" w:w="2880"/>
          </w:tcPr>
          <w:p>
            <w:r/>
            <w:r>
              <w:rPr>
                <w:rFonts w:ascii="Arial" w:hAnsi="Arial"/>
                <w:sz w:val="19"/>
              </w:rPr>
              <w:t>[Criterion]</w:t>
            </w:r>
          </w:p>
        </w:tc>
        <w:tc>
          <w:tcPr>
            <w:tcW w:type="dxa" w:w="2736"/>
          </w:tcPr>
          <w:p>
            <w:r/>
            <w:r>
              <w:rPr>
                <w:rFonts w:ascii="Arial" w:hAnsi="Arial"/>
                <w:sz w:val="19"/>
              </w:rPr>
              <w:t>[e.g. NPS &gt;= 40 from pilot users]</w:t>
            </w:r>
          </w:p>
        </w:tc>
        <w:tc>
          <w:tcPr>
            <w:tcW w:type="dxa" w:w="1296"/>
          </w:tcPr>
          <w:p>
            <w:r/>
            <w:r>
              <w:rPr>
                <w:rFonts w:ascii="Arial" w:hAnsi="Arial"/>
                <w:sz w:val="19"/>
              </w:rPr>
              <w:t>No</w:t>
            </w:r>
          </w:p>
        </w:tc>
        <w:tc>
          <w:tcPr>
            <w:tcW w:type="dxa" w:w="2160"/>
          </w:tcPr>
          <w:p>
            <w:r/>
            <w:r>
              <w:rPr>
                <w:rFonts w:ascii="Arial" w:hAnsi="Arial"/>
                <w:sz w:val="19"/>
              </w:rPr>
              <w:t>[Owner]</w:t>
            </w:r>
          </w:p>
        </w:tc>
      </w:tr>
    </w:tbl>
    <w:p>
      <w:pPr>
        <w:pStyle w:val="Heading1"/>
        <w:spacing w:before="280" w:after="80"/>
      </w:pPr>
      <w:r>
        <w:t>4. Timeline and Milestones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3744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Milestone</w:t>
            </w:r>
          </w:p>
        </w:tc>
        <w:tc>
          <w:tcPr>
            <w:tcW w:type="dxa" w:w="1728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Owner</w:t>
            </w:r>
          </w:p>
        </w:tc>
        <w:tc>
          <w:tcPr>
            <w:tcW w:type="dxa" w:w="2160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Target date</w:t>
            </w:r>
          </w:p>
        </w:tc>
        <w:tc>
          <w:tcPr>
            <w:tcW w:type="dxa" w:w="2016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Payment trigger</w:t>
            </w:r>
          </w:p>
        </w:tc>
      </w:tr>
      <w:tr>
        <w:tc>
          <w:tcPr>
            <w:tcW w:type="dxa" w:w="3744"/>
          </w:tcPr>
          <w:p>
            <w:r/>
            <w:r>
              <w:rPr>
                <w:rFonts w:ascii="Arial" w:hAnsi="Arial"/>
                <w:sz w:val="19"/>
              </w:rPr>
              <w:t>Kick-off and data access granted</w:t>
            </w:r>
          </w:p>
        </w:tc>
        <w:tc>
          <w:tcPr>
            <w:tcW w:type="dxa" w:w="1728"/>
          </w:tcPr>
          <w:p>
            <w:r/>
            <w:r>
              <w:rPr>
                <w:rFonts w:ascii="Arial" w:hAnsi="Arial"/>
                <w:sz w:val="19"/>
              </w:rPr>
              <w:t>Corporate</w:t>
            </w:r>
          </w:p>
        </w:tc>
        <w:tc>
          <w:tcPr>
            <w:tcW w:type="dxa" w:w="2160"/>
          </w:tcPr>
          <w:p>
            <w:r/>
            <w:r>
              <w:rPr>
                <w:rFonts w:ascii="Arial" w:hAnsi="Arial"/>
                <w:sz w:val="19"/>
              </w:rPr>
              <w:t>[dd mmm yyyy]</w:t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sz w:val="19"/>
              </w:rPr>
              <w:t>-</w:t>
            </w:r>
          </w:p>
        </w:tc>
      </w:tr>
      <w:tr>
        <w:tc>
          <w:tcPr>
            <w:tcW w:type="dxa" w:w="3744"/>
          </w:tcPr>
          <w:p>
            <w:r/>
            <w:r>
              <w:rPr>
                <w:rFonts w:ascii="Arial" w:hAnsi="Arial"/>
                <w:sz w:val="19"/>
              </w:rPr>
              <w:t>Environment configured</w:t>
            </w:r>
          </w:p>
        </w:tc>
        <w:tc>
          <w:tcPr>
            <w:tcW w:type="dxa" w:w="1728"/>
          </w:tcPr>
          <w:p>
            <w:r/>
            <w:r>
              <w:rPr>
                <w:rFonts w:ascii="Arial" w:hAnsi="Arial"/>
                <w:sz w:val="19"/>
              </w:rPr>
              <w:t>Startup</w:t>
            </w:r>
          </w:p>
        </w:tc>
        <w:tc>
          <w:tcPr>
            <w:tcW w:type="dxa" w:w="2160"/>
          </w:tcPr>
          <w:p>
            <w:r/>
            <w:r>
              <w:rPr>
                <w:rFonts w:ascii="Arial" w:hAnsi="Arial"/>
                <w:sz w:val="19"/>
              </w:rPr>
              <w:t>[dd mmm yyyy]</w:t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sz w:val="19"/>
              </w:rPr>
              <w:t>[x]%</w:t>
            </w:r>
          </w:p>
        </w:tc>
      </w:tr>
      <w:tr>
        <w:tc>
          <w:tcPr>
            <w:tcW w:type="dxa" w:w="3744"/>
          </w:tcPr>
          <w:p>
            <w:r/>
            <w:r>
              <w:rPr>
                <w:rFonts w:ascii="Arial" w:hAnsi="Arial"/>
                <w:sz w:val="19"/>
              </w:rPr>
              <w:t>Mid-point review</w:t>
            </w:r>
          </w:p>
        </w:tc>
        <w:tc>
          <w:tcPr>
            <w:tcW w:type="dxa" w:w="1728"/>
          </w:tcPr>
          <w:p>
            <w:r/>
            <w:r>
              <w:rPr>
                <w:rFonts w:ascii="Arial" w:hAnsi="Arial"/>
                <w:sz w:val="19"/>
              </w:rPr>
              <w:t>Joint</w:t>
            </w:r>
          </w:p>
        </w:tc>
        <w:tc>
          <w:tcPr>
            <w:tcW w:type="dxa" w:w="2160"/>
          </w:tcPr>
          <w:p>
            <w:r/>
            <w:r>
              <w:rPr>
                <w:rFonts w:ascii="Arial" w:hAnsi="Arial"/>
                <w:sz w:val="19"/>
              </w:rPr>
              <w:t>[dd mmm yyyy]</w:t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sz w:val="19"/>
              </w:rPr>
              <w:t>-</w:t>
            </w:r>
          </w:p>
        </w:tc>
      </w:tr>
      <w:tr>
        <w:tc>
          <w:tcPr>
            <w:tcW w:type="dxa" w:w="3744"/>
          </w:tcPr>
          <w:p>
            <w:r/>
            <w:r>
              <w:rPr>
                <w:rFonts w:ascii="Arial" w:hAnsi="Arial"/>
                <w:sz w:val="19"/>
              </w:rPr>
              <w:t>Final results and readout</w:t>
            </w:r>
          </w:p>
        </w:tc>
        <w:tc>
          <w:tcPr>
            <w:tcW w:type="dxa" w:w="1728"/>
          </w:tcPr>
          <w:p>
            <w:r/>
            <w:r>
              <w:rPr>
                <w:rFonts w:ascii="Arial" w:hAnsi="Arial"/>
                <w:sz w:val="19"/>
              </w:rPr>
              <w:t>Startup</w:t>
            </w:r>
          </w:p>
        </w:tc>
        <w:tc>
          <w:tcPr>
            <w:tcW w:type="dxa" w:w="2160"/>
          </w:tcPr>
          <w:p>
            <w:r/>
            <w:r>
              <w:rPr>
                <w:rFonts w:ascii="Arial" w:hAnsi="Arial"/>
                <w:sz w:val="19"/>
              </w:rPr>
              <w:t>[dd mmm yyyy]</w:t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sz w:val="19"/>
              </w:rPr>
              <w:t>[x]%</w:t>
            </w:r>
          </w:p>
        </w:tc>
      </w:tr>
      <w:tr>
        <w:tc>
          <w:tcPr>
            <w:tcW w:type="dxa" w:w="3744"/>
          </w:tcPr>
          <w:p>
            <w:r/>
            <w:r>
              <w:rPr>
                <w:rFonts w:ascii="Arial" w:hAnsi="Arial"/>
                <w:sz w:val="19"/>
              </w:rPr>
              <w:t>Go / no-go decision</w:t>
            </w:r>
          </w:p>
        </w:tc>
        <w:tc>
          <w:tcPr>
            <w:tcW w:type="dxa" w:w="1728"/>
          </w:tcPr>
          <w:p>
            <w:r/>
            <w:r>
              <w:rPr>
                <w:rFonts w:ascii="Arial" w:hAnsi="Arial"/>
                <w:sz w:val="19"/>
              </w:rPr>
              <w:t>Corporate</w:t>
            </w:r>
          </w:p>
        </w:tc>
        <w:tc>
          <w:tcPr>
            <w:tcW w:type="dxa" w:w="2160"/>
          </w:tcPr>
          <w:p>
            <w:r/>
            <w:r>
              <w:rPr>
                <w:rFonts w:ascii="Arial" w:hAnsi="Arial"/>
                <w:sz w:val="19"/>
              </w:rPr>
              <w:t>[dd mmm yyyy]</w:t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sz w:val="19"/>
              </w:rPr>
              <w:t>-</w:t>
            </w:r>
          </w:p>
        </w:tc>
      </w:tr>
    </w:tbl>
    <w:p>
      <w:pPr>
        <w:pStyle w:val="Heading1"/>
        <w:spacing w:before="280" w:after="80"/>
      </w:pPr>
      <w:r>
        <w:t>5. Commercial Terms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3312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Item</w:t>
            </w:r>
          </w:p>
        </w:tc>
        <w:tc>
          <w:tcPr>
            <w:tcW w:type="dxa" w:w="6336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Detail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POC fee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[Currency / amount] fixed fee, or no fee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Payment schedule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[e.g. 50% on kick-off, 50% on acceptance of final readout]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Expenses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Pre-approved travel and third-party costs only, capped at [amount]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Production pricing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Indicative list price of [amount] per [unit], held for [x] months post-POC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Most-favoured pricing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Yes / No</w:t>
            </w:r>
          </w:p>
        </w:tc>
      </w:tr>
    </w:tbl>
    <w:p>
      <w:pPr>
        <w:pStyle w:val="Heading1"/>
        <w:spacing w:before="280" w:after="80"/>
      </w:pPr>
      <w:r>
        <w:t>6. Responsibilities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Corporate sponsor provides</w:t>
            </w:r>
          </w:p>
        </w:tc>
        <w:tc>
          <w:tcPr>
            <w:tcW w:type="dxa" w:w="4824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Startup provides</w:t>
            </w:r>
          </w:p>
        </w:tc>
      </w:tr>
      <w:tr>
        <w:tc>
          <w:tcPr>
            <w:tcW w:type="dxa" w:w="4824"/>
          </w:tcPr>
          <w:p>
            <w:r/>
            <w:r>
              <w:rPr>
                <w:rFonts w:ascii="Arial" w:hAnsi="Arial"/>
                <w:sz w:val="19"/>
              </w:rPr>
              <w:t>Named project lead and business owner</w:t>
            </w:r>
          </w:p>
        </w:tc>
        <w:tc>
          <w:tcPr>
            <w:tcW w:type="dxa" w:w="4824"/>
          </w:tcPr>
          <w:p>
            <w:r/>
            <w:r>
              <w:rPr>
                <w:rFonts w:ascii="Arial" w:hAnsi="Arial"/>
                <w:sz w:val="19"/>
              </w:rPr>
              <w:t>Named technical lead and support contact</w:t>
            </w:r>
          </w:p>
        </w:tc>
      </w:tr>
      <w:tr>
        <w:tc>
          <w:tcPr>
            <w:tcW w:type="dxa" w:w="4824"/>
          </w:tcPr>
          <w:p>
            <w:r/>
            <w:r>
              <w:rPr>
                <w:rFonts w:ascii="Arial" w:hAnsi="Arial"/>
                <w:sz w:val="19"/>
              </w:rPr>
              <w:t>Test data and system access per section 8</w:t>
            </w:r>
          </w:p>
        </w:tc>
        <w:tc>
          <w:tcPr>
            <w:tcW w:type="dxa" w:w="4824"/>
          </w:tcPr>
          <w:p>
            <w:r/>
            <w:r>
              <w:rPr>
                <w:rFonts w:ascii="Arial" w:hAnsi="Arial"/>
                <w:sz w:val="19"/>
              </w:rPr>
              <w:t>Configured environment and licences for the POC period</w:t>
            </w:r>
          </w:p>
        </w:tc>
      </w:tr>
      <w:tr>
        <w:tc>
          <w:tcPr>
            <w:tcW w:type="dxa" w:w="4824"/>
          </w:tcPr>
          <w:p>
            <w:r/>
            <w:r>
              <w:rPr>
                <w:rFonts w:ascii="Arial" w:hAnsi="Arial"/>
                <w:sz w:val="19"/>
              </w:rPr>
              <w:t>Access to [x] pilot users and their time</w:t>
            </w:r>
          </w:p>
        </w:tc>
        <w:tc>
          <w:tcPr>
            <w:tcW w:type="dxa" w:w="4824"/>
          </w:tcPr>
          <w:p>
            <w:r/>
            <w:r>
              <w:rPr>
                <w:rFonts w:ascii="Arial" w:hAnsi="Arial"/>
                <w:sz w:val="19"/>
              </w:rPr>
              <w:t>Training, onboarding and documentation</w:t>
            </w:r>
          </w:p>
        </w:tc>
      </w:tr>
      <w:tr>
        <w:tc>
          <w:tcPr>
            <w:tcW w:type="dxa" w:w="4824"/>
          </w:tcPr>
          <w:p>
            <w:r/>
            <w:r>
              <w:rPr>
                <w:rFonts w:ascii="Arial" w:hAnsi="Arial"/>
                <w:sz w:val="19"/>
              </w:rPr>
              <w:t>Timely review and sign-off of results</w:t>
            </w:r>
          </w:p>
        </w:tc>
        <w:tc>
          <w:tcPr>
            <w:tcW w:type="dxa" w:w="4824"/>
          </w:tcPr>
          <w:p>
            <w:r/>
            <w:r>
              <w:rPr>
                <w:rFonts w:ascii="Arial" w:hAnsi="Arial"/>
                <w:sz w:val="19"/>
              </w:rPr>
              <w:t>Weekly progress reporting and final readout</w:t>
            </w:r>
          </w:p>
        </w:tc>
      </w:tr>
    </w:tbl>
    <w:p>
      <w:pPr>
        <w:pStyle w:val="Heading1"/>
        <w:spacing w:before="280" w:after="80"/>
      </w:pPr>
      <w:r>
        <w:t>7. Intellectual Property</w:t>
      </w:r>
    </w:p>
    <w:p>
      <w:pPr>
        <w:pStyle w:val="ListBullet"/>
        <w:spacing w:after="40"/>
      </w:pPr>
      <w:r>
        <w:t>Background IP: each party retains ownership of all IP owned prior to, or developed independently of, the POC.</w:t>
      </w:r>
    </w:p>
    <w:p>
      <w:pPr>
        <w:pStyle w:val="ListBullet"/>
        <w:spacing w:after="40"/>
      </w:pPr>
      <w:r>
        <w:t>Foreground IP: any configuration, integration or output created specifically for the Corporate Sponsor is owned by [Corporate / Startup], with a [perpetual / term] licence to the other party.</w:t>
      </w:r>
    </w:p>
    <w:p>
      <w:pPr>
        <w:pStyle w:val="ListBullet"/>
        <w:spacing w:after="40"/>
      </w:pPr>
      <w:r>
        <w:t>Feedback: the Startup may use anonymised learnings to improve its product; it may not use the Corporate Sponsor's name, logo or results publicly without prior written consent.</w:t>
      </w:r>
    </w:p>
    <w:p>
      <w:pPr>
        <w:pStyle w:val="Heading1"/>
        <w:spacing w:before="280" w:after="80"/>
      </w:pPr>
      <w:r>
        <w:t>8. Data, Security and Compliance</w:t>
      </w:r>
    </w:p>
    <w:p>
      <w:pPr>
        <w:pStyle w:val="ListBullet"/>
        <w:spacing w:after="40"/>
      </w:pPr>
      <w:r>
        <w:t>Data provided: [synthetic / anonymised / production] data limited to the scope in section 2.</w:t>
      </w:r>
    </w:p>
    <w:p>
      <w:pPr>
        <w:pStyle w:val="ListBullet"/>
        <w:spacing w:after="40"/>
      </w:pPr>
      <w:r>
        <w:t>Data location and residency: [region]. No transfer outside [region] without prior written approval.</w:t>
      </w:r>
    </w:p>
    <w:p>
      <w:pPr>
        <w:pStyle w:val="ListBullet"/>
        <w:spacing w:after="40"/>
      </w:pPr>
      <w:r>
        <w:t>Personal data: [none / processed under a separate DPA dated ...].</w:t>
      </w:r>
    </w:p>
    <w:p>
      <w:pPr>
        <w:pStyle w:val="ListBullet"/>
        <w:spacing w:after="40"/>
      </w:pPr>
      <w:r>
        <w:t>Security review: the Startup will complete the Corporate Sponsor's security assessment before data access.</w:t>
      </w:r>
    </w:p>
    <w:p>
      <w:pPr>
        <w:pStyle w:val="ListBullet"/>
        <w:spacing w:after="40"/>
      </w:pPr>
      <w:r>
        <w:t>Deletion: all Corporate Sponsor data is deleted or returned within 30 days of POC completion, with written certification.</w:t>
      </w:r>
    </w:p>
    <w:p>
      <w:pPr>
        <w:pStyle w:val="Heading1"/>
        <w:spacing w:before="280" w:after="80"/>
      </w:pPr>
      <w:r>
        <w:t>9. Confidentiality, Term and Termination</w:t>
      </w:r>
    </w:p>
    <w:p>
      <w:pPr>
        <w:pStyle w:val="ListBullet"/>
        <w:spacing w:after="40"/>
      </w:pPr>
      <w:r>
        <w:t>Confidentiality is governed by the mutual NDA dated [date] and survives this term sheet.</w:t>
      </w:r>
    </w:p>
    <w:p>
      <w:pPr>
        <w:pStyle w:val="ListBullet"/>
        <w:spacing w:after="40"/>
      </w:pPr>
      <w:r>
        <w:t>Term: from the effective date until the earlier of completion of section 4 or [x] weeks.</w:t>
      </w:r>
    </w:p>
    <w:p>
      <w:pPr>
        <w:pStyle w:val="ListBullet"/>
        <w:spacing w:after="40"/>
      </w:pPr>
      <w:r>
        <w:t>Either party may terminate for convenience on [10] business days' written notice; fees are pro-rated to work performed.</w:t>
      </w:r>
    </w:p>
    <w:p>
      <w:pPr>
        <w:pStyle w:val="ListBullet"/>
        <w:spacing w:after="40"/>
      </w:pPr>
      <w:r>
        <w:t>Exclusivity: [none / the Corporate Sponsor will not run a competing POC in the same use case for the POC period].</w:t>
      </w:r>
    </w:p>
    <w:p>
      <w:pPr>
        <w:pStyle w:val="Heading1"/>
        <w:spacing w:before="280" w:after="80"/>
      </w:pPr>
      <w:r>
        <w:t>10. Path to Production</w:t>
      </w:r>
    </w:p>
    <w:p>
      <w:pPr>
        <w:spacing w:after="120"/>
      </w:pPr>
      <w:r>
        <w:rPr>
          <w:i w:val="0"/>
        </w:rPr>
        <w:t>If the mandatory success criteria in section 3 are met, the parties will negotiate in good faith towards a commercial agreement within [30] days of the readout. Anticipated next step: [expanded pilot / production rollout in [BU] / procurement onboarding].</w:t>
      </w:r>
    </w:p>
    <w:p>
      <w:pPr>
        <w:pStyle w:val="Heading1"/>
        <w:spacing w:before="280" w:after="80"/>
      </w:pPr>
      <w:r>
        <w:t>11. Governing Law and Signatures</w:t>
      </w:r>
    </w:p>
    <w:p>
      <w:pPr>
        <w:spacing w:after="120"/>
      </w:pPr>
      <w:r>
        <w:rPr>
          <w:i w:val="0"/>
        </w:rPr>
        <w:t>This term sheet is governed by the laws of [jurisdiction]. Except for sections 8, 9 and 11 it is non-binding and creates no obligation to enter into a definitive agreement.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Corporate Sponsor</w:t>
            </w:r>
          </w:p>
        </w:tc>
        <w:tc>
          <w:tcPr>
            <w:tcW w:type="dxa" w:w="4824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Startup</w:t>
            </w:r>
          </w:p>
        </w:tc>
      </w:tr>
      <w:tr>
        <w:tc>
          <w:tcPr>
            <w:tcW w:type="dxa" w:w="4824"/>
          </w:tcPr>
          <w:p>
            <w:r/>
            <w:r>
              <w:rPr>
                <w:rFonts w:ascii="Arial" w:hAnsi="Arial"/>
                <w:sz w:val="19"/>
              </w:rPr>
              <w:t>Name: ____________________</w:t>
            </w:r>
          </w:p>
        </w:tc>
        <w:tc>
          <w:tcPr>
            <w:tcW w:type="dxa" w:w="4824"/>
          </w:tcPr>
          <w:p>
            <w:r/>
            <w:r>
              <w:rPr>
                <w:rFonts w:ascii="Arial" w:hAnsi="Arial"/>
                <w:sz w:val="19"/>
              </w:rPr>
              <w:t>Name: ____________________</w:t>
            </w:r>
          </w:p>
        </w:tc>
      </w:tr>
      <w:tr>
        <w:tc>
          <w:tcPr>
            <w:tcW w:type="dxa" w:w="4824"/>
          </w:tcPr>
          <w:p>
            <w:r/>
            <w:r>
              <w:rPr>
                <w:rFonts w:ascii="Arial" w:hAnsi="Arial"/>
                <w:sz w:val="19"/>
              </w:rPr>
              <w:t>Title: ____________________</w:t>
            </w:r>
          </w:p>
        </w:tc>
        <w:tc>
          <w:tcPr>
            <w:tcW w:type="dxa" w:w="4824"/>
          </w:tcPr>
          <w:p>
            <w:r/>
            <w:r>
              <w:rPr>
                <w:rFonts w:ascii="Arial" w:hAnsi="Arial"/>
                <w:sz w:val="19"/>
              </w:rPr>
              <w:t>Title: ____________________</w:t>
            </w:r>
          </w:p>
        </w:tc>
      </w:tr>
      <w:tr>
        <w:tc>
          <w:tcPr>
            <w:tcW w:type="dxa" w:w="4824"/>
          </w:tcPr>
          <w:p>
            <w:r/>
            <w:r>
              <w:rPr>
                <w:rFonts w:ascii="Arial" w:hAnsi="Arial"/>
                <w:sz w:val="19"/>
              </w:rPr>
              <w:t>Signature: ________________</w:t>
            </w:r>
          </w:p>
        </w:tc>
        <w:tc>
          <w:tcPr>
            <w:tcW w:type="dxa" w:w="4824"/>
          </w:tcPr>
          <w:p>
            <w:r/>
            <w:r>
              <w:rPr>
                <w:rFonts w:ascii="Arial" w:hAnsi="Arial"/>
                <w:sz w:val="19"/>
              </w:rPr>
              <w:t>Signature: ________________</w:t>
            </w:r>
          </w:p>
        </w:tc>
      </w:tr>
      <w:tr>
        <w:tc>
          <w:tcPr>
            <w:tcW w:type="dxa" w:w="4824"/>
          </w:tcPr>
          <w:p>
            <w:r/>
            <w:r>
              <w:rPr>
                <w:rFonts w:ascii="Arial" w:hAnsi="Arial"/>
                <w:sz w:val="19"/>
              </w:rPr>
              <w:t>Date: _____________________</w:t>
            </w:r>
          </w:p>
        </w:tc>
        <w:tc>
          <w:tcPr>
            <w:tcW w:type="dxa" w:w="4824"/>
          </w:tcPr>
          <w:p>
            <w:r/>
            <w:r>
              <w:rPr>
                <w:rFonts w:ascii="Arial" w:hAnsi="Arial"/>
                <w:sz w:val="19"/>
              </w:rPr>
              <w:t>Date: 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B7280"/>
        <w:sz w:val="15"/>
      </w:rPr>
      <w:t>Copyright 2026 InnoLead. All Rights Reserved.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938133" cy="25603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8133" cy="256032"/>
                  </a:xfrm>
                  <a:prstGeom prst="rect"/>
                </pic:spPr>
              </pic:pic>
            </a:graphicData>
          </a:graphic>
        </wp:inline>
      </w:drawing>
    </w:r>
  </w:p>
  <w:p>
    <w:pPr>
      <w:pBdr>
        <w:bottom w:val="single" w:sz="6" w:space="4" w:color="D4D8DD"/>
      </w:pBdr>
    </w:pPr>
    <w:r>
      <w:rPr>
        <w:rFonts w:ascii="Arial" w:hAnsi="Arial"/>
        <w:b/>
        <w:color w:val="6B7280"/>
        <w:sz w:val="16"/>
      </w:rPr>
      <w:t>STARTUP POC AGREEMENT TERM SHEET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b w:val="0"/>
      <w:color w:val="0E111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color w:val="0E111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color w:val="007C8A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Arial" w:hAnsi="Arial" w:cs="Arial" w:eastAsia="Arial"/>
      <w:b/>
      <w:color w:val="0E1116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cs="Arial" w:eastAsia="Arial"/>
      <w:b w:val="0"/>
      <w:color w:val="0E1116"/>
      <w:sz w:val="21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b w:val="0"/>
      <w:color w:val="0E1116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cs="Arial" w:eastAsia="Arial"/>
      <w:b w:val="0"/>
      <w:color w:val="0E1116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 w:cs="Arial" w:eastAsia="Arial"/>
      <w:b w:val="0"/>
      <w:color w:val="0E1116"/>
      <w:sz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