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t>Innovation Committee Charter</w:t>
      </w:r>
    </w:p>
    <w:p>
      <w:pPr>
        <w:pBdr>
          <w:bottom w:val="single" w:sz="12" w:space="4" w:color="00B3C7"/>
        </w:pBdr>
      </w:pPr>
      <w:r>
        <w:rPr>
          <w:rFonts w:ascii="Arial" w:hAnsi="Arial"/>
          <w:color w:val="6B7280"/>
          <w:sz w:val="20"/>
        </w:rPr>
        <w:t>Mandate, membership, decision rights and operating cadence for the innovation committee</w:t>
      </w:r>
    </w:p>
    <w:p>
      <w:pPr>
        <w:spacing w:after="120"/>
      </w:pPr>
      <w:r>
        <w:rPr>
          <w:i w:val="0"/>
          <w:color w:val="6B7280"/>
        </w:rPr>
        <w:t>This charter establishes the Innovation Committee, defines what it decides on its own authority and what it escalates, and sets the standards by which its effectiveness is judged. Approve it at the first meeting and review it annually.</w:t>
      </w:r>
    </w:p>
    <w:p>
      <w:pPr>
        <w:pStyle w:val="Heading1"/>
        <w:spacing w:before="280" w:after="80"/>
      </w:pPr>
      <w:r>
        <w:t>1. Purpose</w:t>
      </w:r>
    </w:p>
    <w:p>
      <w:pPr>
        <w:spacing w:after="120"/>
      </w:pPr>
      <w:r>
        <w:rPr>
          <w:i w:val="0"/>
        </w:rPr>
        <w:t>The Innovation Committee exists to allocate resources to innovation, remove barriers that individual business units cannot remove alone, and hold the innovation portfolio to a consistent standard of evidence. It is a decision-making body, not a reporting forum.</w:t>
      </w:r>
    </w:p>
    <w:p>
      <w:pPr>
        <w:pStyle w:val="Heading2"/>
        <w:spacing w:before="200" w:after="40"/>
      </w:pPr>
      <w:r>
        <w:t>Objectives</w:t>
      </w:r>
    </w:p>
    <w:p>
      <w:pPr>
        <w:pStyle w:val="ListBullet"/>
        <w:spacing w:after="40"/>
      </w:pPr>
      <w:r>
        <w:t>Approve and periodically rebalance the innovation portfolio against strategic priorities.</w:t>
      </w:r>
    </w:p>
    <w:p>
      <w:pPr>
        <w:pStyle w:val="ListBullet"/>
        <w:spacing w:after="40"/>
      </w:pPr>
      <w:r>
        <w:t>Make timely stage-gate decisions: fund, iterate, pivot or stop.</w:t>
      </w:r>
    </w:p>
    <w:p>
      <w:pPr>
        <w:pStyle w:val="ListBullet"/>
        <w:spacing w:after="40"/>
      </w:pPr>
      <w:r>
        <w:t>Protect ring-fenced innovation funding and released people time.</w:t>
      </w:r>
    </w:p>
    <w:p>
      <w:pPr>
        <w:pStyle w:val="ListBullet"/>
        <w:spacing w:after="40"/>
      </w:pPr>
      <w:r>
        <w:t>Resolve escalations on data access, legal, procurement and IT blockers.</w:t>
      </w:r>
    </w:p>
    <w:p>
      <w:pPr>
        <w:pStyle w:val="ListBullet"/>
        <w:spacing w:after="40"/>
      </w:pPr>
      <w:r>
        <w:t>Ensure learning from stopped initiatives is captured and reused.</w:t>
      </w:r>
    </w:p>
    <w:p>
      <w:pPr>
        <w:pStyle w:val="Heading1"/>
        <w:spacing w:before="280" w:after="80"/>
      </w:pPr>
      <w:r>
        <w:t>2. Scope and Authority</w:t>
      </w:r>
    </w:p>
    <w:tbl>
      <w:tblPr>
        <w:tblStyle w:val="TableGrid"/>
        <w:tblW w:type="auto" w:w="0"/>
        <w:jc w:val="center"/>
        <w:tblLook w:firstColumn="1" w:firstRow="1" w:lastColumn="0" w:lastRow="0" w:noHBand="0" w:noVBand="1" w:val="04A0"/>
      </w:tblPr>
      <w:tblGrid>
        <w:gridCol w:w="3216"/>
        <w:gridCol w:w="3216"/>
        <w:gridCol w:w="3216"/>
      </w:tblGrid>
      <w:tr>
        <w:tc>
          <w:tcPr>
            <w:tcW w:type="dxa" w:w="2880"/>
            <w:shd w:val="clear" w:fill="0E1116"/>
          </w:tcPr>
          <w:p>
            <w:r/>
            <w:r>
              <w:rPr>
                <w:rFonts w:ascii="Arial" w:hAnsi="Arial"/>
                <w:b/>
                <w:color w:val="FFFFFF"/>
                <w:sz w:val="19"/>
              </w:rPr>
              <w:t>Decision</w:t>
            </w:r>
          </w:p>
        </w:tc>
        <w:tc>
          <w:tcPr>
            <w:tcW w:type="dxa" w:w="3744"/>
            <w:shd w:val="clear" w:fill="0E1116"/>
          </w:tcPr>
          <w:p>
            <w:r/>
            <w:r>
              <w:rPr>
                <w:rFonts w:ascii="Arial" w:hAnsi="Arial"/>
                <w:b/>
                <w:color w:val="FFFFFF"/>
                <w:sz w:val="19"/>
              </w:rPr>
              <w:t>Committee authority</w:t>
            </w:r>
          </w:p>
        </w:tc>
        <w:tc>
          <w:tcPr>
            <w:tcW w:type="dxa" w:w="3024"/>
            <w:shd w:val="clear" w:fill="0E1116"/>
          </w:tcPr>
          <w:p>
            <w:r/>
            <w:r>
              <w:rPr>
                <w:rFonts w:ascii="Arial" w:hAnsi="Arial"/>
                <w:b/>
                <w:color w:val="FFFFFF"/>
                <w:sz w:val="19"/>
              </w:rPr>
              <w:t>Escalation</w:t>
            </w:r>
          </w:p>
        </w:tc>
      </w:tr>
      <w:tr>
        <w:tc>
          <w:tcPr>
            <w:tcW w:type="dxa" w:w="2880"/>
          </w:tcPr>
          <w:p>
            <w:r/>
            <w:r>
              <w:rPr>
                <w:rFonts w:ascii="Arial" w:hAnsi="Arial"/>
                <w:sz w:val="19"/>
              </w:rPr>
              <w:t>Idea to discovery funding</w:t>
            </w:r>
          </w:p>
        </w:tc>
        <w:tc>
          <w:tcPr>
            <w:tcW w:type="dxa" w:w="3744"/>
          </w:tcPr>
          <w:p>
            <w:r/>
            <w:r>
              <w:rPr>
                <w:rFonts w:ascii="Arial" w:hAnsi="Arial"/>
                <w:sz w:val="19"/>
              </w:rPr>
              <w:t>Up to [amount] per initiative</w:t>
            </w:r>
          </w:p>
        </w:tc>
        <w:tc>
          <w:tcPr>
            <w:tcW w:type="dxa" w:w="3024"/>
          </w:tcPr>
          <w:p>
            <w:r/>
            <w:r>
              <w:rPr>
                <w:rFonts w:ascii="Arial" w:hAnsi="Arial"/>
                <w:sz w:val="19"/>
              </w:rPr>
              <w:t>None</w:t>
            </w:r>
          </w:p>
        </w:tc>
      </w:tr>
      <w:tr>
        <w:tc>
          <w:tcPr>
            <w:tcW w:type="dxa" w:w="2880"/>
          </w:tcPr>
          <w:p>
            <w:r/>
            <w:r>
              <w:rPr>
                <w:rFonts w:ascii="Arial" w:hAnsi="Arial"/>
                <w:sz w:val="19"/>
              </w:rPr>
              <w:t>Discovery to pilot funding</w:t>
            </w:r>
          </w:p>
        </w:tc>
        <w:tc>
          <w:tcPr>
            <w:tcW w:type="dxa" w:w="3744"/>
          </w:tcPr>
          <w:p>
            <w:r/>
            <w:r>
              <w:rPr>
                <w:rFonts w:ascii="Arial" w:hAnsi="Arial"/>
                <w:sz w:val="19"/>
              </w:rPr>
              <w:t>Up to [amount] per initiative</w:t>
            </w:r>
          </w:p>
        </w:tc>
        <w:tc>
          <w:tcPr>
            <w:tcW w:type="dxa" w:w="3024"/>
          </w:tcPr>
          <w:p>
            <w:r/>
            <w:r>
              <w:rPr>
                <w:rFonts w:ascii="Arial" w:hAnsi="Arial"/>
                <w:sz w:val="19"/>
              </w:rPr>
              <w:t>Above threshold: [Exec Committee]</w:t>
            </w:r>
          </w:p>
        </w:tc>
      </w:tr>
      <w:tr>
        <w:tc>
          <w:tcPr>
            <w:tcW w:type="dxa" w:w="2880"/>
          </w:tcPr>
          <w:p>
            <w:r/>
            <w:r>
              <w:rPr>
                <w:rFonts w:ascii="Arial" w:hAnsi="Arial"/>
                <w:sz w:val="19"/>
              </w:rPr>
              <w:t>Pilot to scale funding</w:t>
            </w:r>
          </w:p>
        </w:tc>
        <w:tc>
          <w:tcPr>
            <w:tcW w:type="dxa" w:w="3744"/>
          </w:tcPr>
          <w:p>
            <w:r/>
            <w:r>
              <w:rPr>
                <w:rFonts w:ascii="Arial" w:hAnsi="Arial"/>
                <w:sz w:val="19"/>
              </w:rPr>
              <w:t>Recommend only</w:t>
            </w:r>
          </w:p>
        </w:tc>
        <w:tc>
          <w:tcPr>
            <w:tcW w:type="dxa" w:w="3024"/>
          </w:tcPr>
          <w:p>
            <w:r/>
            <w:r>
              <w:rPr>
                <w:rFonts w:ascii="Arial" w:hAnsi="Arial"/>
                <w:sz w:val="19"/>
              </w:rPr>
              <w:t>[Exec Committee / Board]</w:t>
            </w:r>
          </w:p>
        </w:tc>
      </w:tr>
      <w:tr>
        <w:tc>
          <w:tcPr>
            <w:tcW w:type="dxa" w:w="2880"/>
          </w:tcPr>
          <w:p>
            <w:r/>
            <w:r>
              <w:rPr>
                <w:rFonts w:ascii="Arial" w:hAnsi="Arial"/>
                <w:sz w:val="19"/>
              </w:rPr>
              <w:t>Stop an initiative</w:t>
            </w:r>
          </w:p>
        </w:tc>
        <w:tc>
          <w:tcPr>
            <w:tcW w:type="dxa" w:w="3744"/>
          </w:tcPr>
          <w:p>
            <w:r/>
            <w:r>
              <w:rPr>
                <w:rFonts w:ascii="Arial" w:hAnsi="Arial"/>
                <w:sz w:val="19"/>
              </w:rPr>
              <w:t>Full authority at any stage</w:t>
            </w:r>
          </w:p>
        </w:tc>
        <w:tc>
          <w:tcPr>
            <w:tcW w:type="dxa" w:w="3024"/>
          </w:tcPr>
          <w:p>
            <w:r/>
            <w:r>
              <w:rPr>
                <w:rFonts w:ascii="Arial" w:hAnsi="Arial"/>
                <w:sz w:val="19"/>
              </w:rPr>
              <w:t>Notify sponsor within 5 days</w:t>
            </w:r>
          </w:p>
        </w:tc>
      </w:tr>
      <w:tr>
        <w:tc>
          <w:tcPr>
            <w:tcW w:type="dxa" w:w="2880"/>
          </w:tcPr>
          <w:p>
            <w:r/>
            <w:r>
              <w:rPr>
                <w:rFonts w:ascii="Arial" w:hAnsi="Arial"/>
                <w:sz w:val="19"/>
              </w:rPr>
              <w:t>Portfolio rebalancing</w:t>
            </w:r>
          </w:p>
        </w:tc>
        <w:tc>
          <w:tcPr>
            <w:tcW w:type="dxa" w:w="3744"/>
          </w:tcPr>
          <w:p>
            <w:r/>
            <w:r>
              <w:rPr>
                <w:rFonts w:ascii="Arial" w:hAnsi="Arial"/>
                <w:sz w:val="19"/>
              </w:rPr>
              <w:t>Within approved annual envelope</w:t>
            </w:r>
          </w:p>
        </w:tc>
        <w:tc>
          <w:tcPr>
            <w:tcW w:type="dxa" w:w="3024"/>
          </w:tcPr>
          <w:p>
            <w:r/>
            <w:r>
              <w:rPr>
                <w:rFonts w:ascii="Arial" w:hAnsi="Arial"/>
                <w:sz w:val="19"/>
              </w:rPr>
              <w:t>Envelope change: [CFO]</w:t>
            </w:r>
          </w:p>
        </w:tc>
      </w:tr>
      <w:tr>
        <w:tc>
          <w:tcPr>
            <w:tcW w:type="dxa" w:w="2880"/>
          </w:tcPr>
          <w:p>
            <w:r/>
            <w:r>
              <w:rPr>
                <w:rFonts w:ascii="Arial" w:hAnsi="Arial"/>
                <w:sz w:val="19"/>
              </w:rPr>
              <w:t>Partnership / venture investment</w:t>
            </w:r>
          </w:p>
        </w:tc>
        <w:tc>
          <w:tcPr>
            <w:tcW w:type="dxa" w:w="3744"/>
          </w:tcPr>
          <w:p>
            <w:r/>
            <w:r>
              <w:rPr>
                <w:rFonts w:ascii="Arial" w:hAnsi="Arial"/>
                <w:sz w:val="19"/>
              </w:rPr>
              <w:t>Recommend only</w:t>
            </w:r>
          </w:p>
        </w:tc>
        <w:tc>
          <w:tcPr>
            <w:tcW w:type="dxa" w:w="3024"/>
          </w:tcPr>
          <w:p>
            <w:r/>
            <w:r>
              <w:rPr>
                <w:rFonts w:ascii="Arial" w:hAnsi="Arial"/>
                <w:sz w:val="19"/>
              </w:rPr>
              <w:t>[Investment Committee]</w:t>
            </w:r>
          </w:p>
        </w:tc>
      </w:tr>
      <w:tr>
        <w:tc>
          <w:tcPr>
            <w:tcW w:type="dxa" w:w="2880"/>
          </w:tcPr>
          <w:p>
            <w:r/>
            <w:r>
              <w:rPr>
                <w:rFonts w:ascii="Arial" w:hAnsi="Arial"/>
                <w:sz w:val="19"/>
              </w:rPr>
              <w:t>Policy and process exceptions</w:t>
            </w:r>
          </w:p>
        </w:tc>
        <w:tc>
          <w:tcPr>
            <w:tcW w:type="dxa" w:w="3744"/>
          </w:tcPr>
          <w:p>
            <w:r/>
            <w:r>
              <w:rPr>
                <w:rFonts w:ascii="Arial" w:hAnsi="Arial"/>
                <w:sz w:val="19"/>
              </w:rPr>
              <w:t>Time-boxed waivers up to [x] months</w:t>
            </w:r>
          </w:p>
        </w:tc>
        <w:tc>
          <w:tcPr>
            <w:tcW w:type="dxa" w:w="3024"/>
          </w:tcPr>
          <w:p>
            <w:r/>
            <w:r>
              <w:rPr>
                <w:rFonts w:ascii="Arial" w:hAnsi="Arial"/>
                <w:sz w:val="19"/>
              </w:rPr>
              <w:t>[Risk / Legal]</w:t>
            </w:r>
          </w:p>
        </w:tc>
      </w:tr>
    </w:tbl>
    <w:p>
      <w:pPr>
        <w:pStyle w:val="Heading2"/>
        <w:spacing w:before="200" w:after="40"/>
      </w:pPr>
      <w:r>
        <w:t>Out of scope</w:t>
      </w:r>
    </w:p>
    <w:p>
      <w:pPr>
        <w:pStyle w:val="ListBullet"/>
        <w:spacing w:after="40"/>
      </w:pPr>
      <w:r>
        <w:t>Business-as-usual project prioritisation</w:t>
      </w:r>
    </w:p>
    <w:p>
      <w:pPr>
        <w:pStyle w:val="ListBullet"/>
        <w:spacing w:after="40"/>
      </w:pPr>
      <w:r>
        <w:t>Line-management of innovation staff</w:t>
      </w:r>
    </w:p>
    <w:p>
      <w:pPr>
        <w:pStyle w:val="ListBullet"/>
        <w:spacing w:after="40"/>
      </w:pPr>
      <w:r>
        <w:t>Technical architecture decisions delegated to the [Architecture Board]</w:t>
      </w:r>
    </w:p>
    <w:p>
      <w:pPr>
        <w:pStyle w:val="Heading1"/>
        <w:spacing w:before="280" w:after="80"/>
      </w:pPr>
      <w:r>
        <w:t>3. Membership</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736"/>
            <w:shd w:val="clear" w:fill="0E1116"/>
          </w:tcPr>
          <w:p>
            <w:r/>
            <w:r>
              <w:rPr>
                <w:rFonts w:ascii="Arial" w:hAnsi="Arial"/>
                <w:b/>
                <w:color w:val="FFFFFF"/>
                <w:sz w:val="19"/>
              </w:rPr>
              <w:t>Role on committee</w:t>
            </w:r>
          </w:p>
        </w:tc>
        <w:tc>
          <w:tcPr>
            <w:tcW w:type="dxa" w:w="2736"/>
            <w:shd w:val="clear" w:fill="0E1116"/>
          </w:tcPr>
          <w:p>
            <w:r/>
            <w:r>
              <w:rPr>
                <w:rFonts w:ascii="Arial" w:hAnsi="Arial"/>
                <w:b/>
                <w:color w:val="FFFFFF"/>
                <w:sz w:val="19"/>
              </w:rPr>
              <w:t>Held by</w:t>
            </w:r>
          </w:p>
        </w:tc>
        <w:tc>
          <w:tcPr>
            <w:tcW w:type="dxa" w:w="2160"/>
            <w:shd w:val="clear" w:fill="0E1116"/>
          </w:tcPr>
          <w:p>
            <w:r/>
            <w:r>
              <w:rPr>
                <w:rFonts w:ascii="Arial" w:hAnsi="Arial"/>
                <w:b/>
                <w:color w:val="FFFFFF"/>
                <w:sz w:val="19"/>
              </w:rPr>
              <w:t>Voting</w:t>
            </w:r>
          </w:p>
        </w:tc>
        <w:tc>
          <w:tcPr>
            <w:tcW w:type="dxa" w:w="2016"/>
            <w:shd w:val="clear" w:fill="0E1116"/>
          </w:tcPr>
          <w:p>
            <w:r/>
            <w:r>
              <w:rPr>
                <w:rFonts w:ascii="Arial" w:hAnsi="Arial"/>
                <w:b/>
                <w:color w:val="FFFFFF"/>
                <w:sz w:val="19"/>
              </w:rPr>
              <w:t>Alternate permitted</w:t>
            </w:r>
          </w:p>
        </w:tc>
      </w:tr>
      <w:tr>
        <w:tc>
          <w:tcPr>
            <w:tcW w:type="dxa" w:w="2736"/>
          </w:tcPr>
          <w:p>
            <w:r/>
            <w:r>
              <w:rPr>
                <w:rFonts w:ascii="Arial" w:hAnsi="Arial"/>
                <w:sz w:val="19"/>
              </w:rPr>
              <w:t>Chair</w:t>
            </w:r>
          </w:p>
        </w:tc>
        <w:tc>
          <w:tcPr>
            <w:tcW w:type="dxa" w:w="2736"/>
          </w:tcPr>
          <w:p>
            <w:r/>
            <w:r>
              <w:rPr>
                <w:rFonts w:ascii="Arial" w:hAnsi="Arial"/>
                <w:sz w:val="19"/>
              </w:rPr>
              <w:t>[Chief Innovation / Strategy Officer]</w:t>
            </w:r>
          </w:p>
        </w:tc>
        <w:tc>
          <w:tcPr>
            <w:tcW w:type="dxa" w:w="2160"/>
          </w:tcPr>
          <w:p>
            <w:r/>
            <w:r>
              <w:rPr>
                <w:rFonts w:ascii="Arial" w:hAnsi="Arial"/>
                <w:sz w:val="19"/>
              </w:rPr>
              <w:t>Yes (casting vote)</w:t>
            </w:r>
          </w:p>
        </w:tc>
        <w:tc>
          <w:tcPr>
            <w:tcW w:type="dxa" w:w="2016"/>
          </w:tcPr>
          <w:p>
            <w:r/>
            <w:r>
              <w:rPr>
                <w:rFonts w:ascii="Arial" w:hAnsi="Arial"/>
                <w:sz w:val="19"/>
              </w:rPr>
              <w:t>No</w:t>
            </w:r>
          </w:p>
        </w:tc>
      </w:tr>
      <w:tr>
        <w:tc>
          <w:tcPr>
            <w:tcW w:type="dxa" w:w="2736"/>
          </w:tcPr>
          <w:p>
            <w:r/>
            <w:r>
              <w:rPr>
                <w:rFonts w:ascii="Arial" w:hAnsi="Arial"/>
                <w:sz w:val="19"/>
              </w:rPr>
              <w:t>Deputy chair</w:t>
            </w:r>
          </w:p>
        </w:tc>
        <w:tc>
          <w:tcPr>
            <w:tcW w:type="dxa" w:w="2736"/>
          </w:tcPr>
          <w:p>
            <w:r/>
            <w:r>
              <w:rPr>
                <w:rFonts w:ascii="Arial" w:hAnsi="Arial"/>
                <w:sz w:val="19"/>
              </w:rPr>
              <w:t>[Name, title]</w:t>
            </w:r>
          </w:p>
        </w:tc>
        <w:tc>
          <w:tcPr>
            <w:tcW w:type="dxa" w:w="2160"/>
          </w:tcPr>
          <w:p>
            <w:r/>
            <w:r>
              <w:rPr>
                <w:rFonts w:ascii="Arial" w:hAnsi="Arial"/>
                <w:sz w:val="19"/>
              </w:rPr>
              <w:t>Yes</w:t>
            </w:r>
          </w:p>
        </w:tc>
        <w:tc>
          <w:tcPr>
            <w:tcW w:type="dxa" w:w="2016"/>
          </w:tcPr>
          <w:p>
            <w:r/>
            <w:r>
              <w:rPr>
                <w:rFonts w:ascii="Arial" w:hAnsi="Arial"/>
                <w:sz w:val="19"/>
              </w:rPr>
              <w:t>No</w:t>
            </w:r>
          </w:p>
        </w:tc>
      </w:tr>
      <w:tr>
        <w:tc>
          <w:tcPr>
            <w:tcW w:type="dxa" w:w="2736"/>
          </w:tcPr>
          <w:p>
            <w:r/>
            <w:r>
              <w:rPr>
                <w:rFonts w:ascii="Arial" w:hAnsi="Arial"/>
                <w:sz w:val="19"/>
              </w:rPr>
              <w:t>Finance member</w:t>
            </w:r>
          </w:p>
        </w:tc>
        <w:tc>
          <w:tcPr>
            <w:tcW w:type="dxa" w:w="2736"/>
          </w:tcPr>
          <w:p>
            <w:r/>
            <w:r>
              <w:rPr>
                <w:rFonts w:ascii="Arial" w:hAnsi="Arial"/>
                <w:sz w:val="19"/>
              </w:rPr>
              <w:t>[CFO delegate]</w:t>
            </w:r>
          </w:p>
        </w:tc>
        <w:tc>
          <w:tcPr>
            <w:tcW w:type="dxa" w:w="2160"/>
          </w:tcPr>
          <w:p>
            <w:r/>
            <w:r>
              <w:rPr>
                <w:rFonts w:ascii="Arial" w:hAnsi="Arial"/>
                <w:sz w:val="19"/>
              </w:rPr>
              <w:t>Yes</w:t>
            </w:r>
          </w:p>
        </w:tc>
        <w:tc>
          <w:tcPr>
            <w:tcW w:type="dxa" w:w="2016"/>
          </w:tcPr>
          <w:p>
            <w:r/>
            <w:r>
              <w:rPr>
                <w:rFonts w:ascii="Arial" w:hAnsi="Arial"/>
                <w:sz w:val="19"/>
              </w:rPr>
              <w:t>Yes</w:t>
            </w:r>
          </w:p>
        </w:tc>
      </w:tr>
      <w:tr>
        <w:tc>
          <w:tcPr>
            <w:tcW w:type="dxa" w:w="2736"/>
          </w:tcPr>
          <w:p>
            <w:r/>
            <w:r>
              <w:rPr>
                <w:rFonts w:ascii="Arial" w:hAnsi="Arial"/>
                <w:sz w:val="19"/>
              </w:rPr>
              <w:t>Technology member</w:t>
            </w:r>
          </w:p>
        </w:tc>
        <w:tc>
          <w:tcPr>
            <w:tcW w:type="dxa" w:w="2736"/>
          </w:tcPr>
          <w:p>
            <w:r/>
            <w:r>
              <w:rPr>
                <w:rFonts w:ascii="Arial" w:hAnsi="Arial"/>
                <w:sz w:val="19"/>
              </w:rPr>
              <w:t>[CTO / CIO delegate]</w:t>
            </w:r>
          </w:p>
        </w:tc>
        <w:tc>
          <w:tcPr>
            <w:tcW w:type="dxa" w:w="2160"/>
          </w:tcPr>
          <w:p>
            <w:r/>
            <w:r>
              <w:rPr>
                <w:rFonts w:ascii="Arial" w:hAnsi="Arial"/>
                <w:sz w:val="19"/>
              </w:rPr>
              <w:t>Yes</w:t>
            </w:r>
          </w:p>
        </w:tc>
        <w:tc>
          <w:tcPr>
            <w:tcW w:type="dxa" w:w="2016"/>
          </w:tcPr>
          <w:p>
            <w:r/>
            <w:r>
              <w:rPr>
                <w:rFonts w:ascii="Arial" w:hAnsi="Arial"/>
                <w:sz w:val="19"/>
              </w:rPr>
              <w:t>Yes</w:t>
            </w:r>
          </w:p>
        </w:tc>
      </w:tr>
      <w:tr>
        <w:tc>
          <w:tcPr>
            <w:tcW w:type="dxa" w:w="2736"/>
          </w:tcPr>
          <w:p>
            <w:r/>
            <w:r>
              <w:rPr>
                <w:rFonts w:ascii="Arial" w:hAnsi="Arial"/>
                <w:sz w:val="19"/>
              </w:rPr>
              <w:t>Business unit members (x[3])</w:t>
            </w:r>
          </w:p>
        </w:tc>
        <w:tc>
          <w:tcPr>
            <w:tcW w:type="dxa" w:w="2736"/>
          </w:tcPr>
          <w:p>
            <w:r/>
            <w:r>
              <w:rPr>
                <w:rFonts w:ascii="Arial" w:hAnsi="Arial"/>
                <w:sz w:val="19"/>
              </w:rPr>
              <w:t>[BU leaders]</w:t>
            </w:r>
          </w:p>
        </w:tc>
        <w:tc>
          <w:tcPr>
            <w:tcW w:type="dxa" w:w="2160"/>
          </w:tcPr>
          <w:p>
            <w:r/>
            <w:r>
              <w:rPr>
                <w:rFonts w:ascii="Arial" w:hAnsi="Arial"/>
                <w:sz w:val="19"/>
              </w:rPr>
              <w:t>Yes</w:t>
            </w:r>
          </w:p>
        </w:tc>
        <w:tc>
          <w:tcPr>
            <w:tcW w:type="dxa" w:w="2016"/>
          </w:tcPr>
          <w:p>
            <w:r/>
            <w:r>
              <w:rPr>
                <w:rFonts w:ascii="Arial" w:hAnsi="Arial"/>
                <w:sz w:val="19"/>
              </w:rPr>
              <w:t>Yes</w:t>
            </w:r>
          </w:p>
        </w:tc>
      </w:tr>
      <w:tr>
        <w:tc>
          <w:tcPr>
            <w:tcW w:type="dxa" w:w="2736"/>
          </w:tcPr>
          <w:p>
            <w:r/>
            <w:r>
              <w:rPr>
                <w:rFonts w:ascii="Arial" w:hAnsi="Arial"/>
                <w:sz w:val="19"/>
              </w:rPr>
              <w:t>Risk / legal member</w:t>
            </w:r>
          </w:p>
        </w:tc>
        <w:tc>
          <w:tcPr>
            <w:tcW w:type="dxa" w:w="2736"/>
          </w:tcPr>
          <w:p>
            <w:r/>
            <w:r>
              <w:rPr>
                <w:rFonts w:ascii="Arial" w:hAnsi="Arial"/>
                <w:sz w:val="19"/>
              </w:rPr>
              <w:t>[Name]</w:t>
            </w:r>
          </w:p>
        </w:tc>
        <w:tc>
          <w:tcPr>
            <w:tcW w:type="dxa" w:w="2160"/>
          </w:tcPr>
          <w:p>
            <w:r/>
            <w:r>
              <w:rPr>
                <w:rFonts w:ascii="Arial" w:hAnsi="Arial"/>
                <w:sz w:val="19"/>
              </w:rPr>
              <w:t>No (advisory)</w:t>
            </w:r>
          </w:p>
        </w:tc>
        <w:tc>
          <w:tcPr>
            <w:tcW w:type="dxa" w:w="2016"/>
          </w:tcPr>
          <w:p>
            <w:r/>
            <w:r>
              <w:rPr>
                <w:rFonts w:ascii="Arial" w:hAnsi="Arial"/>
                <w:sz w:val="19"/>
              </w:rPr>
              <w:t>Yes</w:t>
            </w:r>
          </w:p>
        </w:tc>
      </w:tr>
      <w:tr>
        <w:tc>
          <w:tcPr>
            <w:tcW w:type="dxa" w:w="2736"/>
          </w:tcPr>
          <w:p>
            <w:r/>
            <w:r>
              <w:rPr>
                <w:rFonts w:ascii="Arial" w:hAnsi="Arial"/>
                <w:sz w:val="19"/>
              </w:rPr>
              <w:t>Innovation programme lead</w:t>
            </w:r>
          </w:p>
        </w:tc>
        <w:tc>
          <w:tcPr>
            <w:tcW w:type="dxa" w:w="2736"/>
          </w:tcPr>
          <w:p>
            <w:r/>
            <w:r>
              <w:rPr>
                <w:rFonts w:ascii="Arial" w:hAnsi="Arial"/>
                <w:sz w:val="19"/>
              </w:rPr>
              <w:t>[Name]</w:t>
            </w:r>
          </w:p>
        </w:tc>
        <w:tc>
          <w:tcPr>
            <w:tcW w:type="dxa" w:w="2160"/>
          </w:tcPr>
          <w:p>
            <w:r/>
            <w:r>
              <w:rPr>
                <w:rFonts w:ascii="Arial" w:hAnsi="Arial"/>
                <w:sz w:val="19"/>
              </w:rPr>
              <w:t>No (secretary)</w:t>
            </w:r>
          </w:p>
        </w:tc>
        <w:tc>
          <w:tcPr>
            <w:tcW w:type="dxa" w:w="2016"/>
          </w:tcPr>
          <w:p>
            <w:r/>
            <w:r>
              <w:rPr>
                <w:rFonts w:ascii="Arial" w:hAnsi="Arial"/>
                <w:sz w:val="19"/>
              </w:rPr>
              <w:t>No</w:t>
            </w:r>
          </w:p>
        </w:tc>
      </w:tr>
      <w:tr>
        <w:tc>
          <w:tcPr>
            <w:tcW w:type="dxa" w:w="2736"/>
          </w:tcPr>
          <w:p>
            <w:r/>
            <w:r>
              <w:rPr>
                <w:rFonts w:ascii="Arial" w:hAnsi="Arial"/>
                <w:sz w:val="19"/>
              </w:rPr>
              <w:t>Guest contributors</w:t>
            </w:r>
          </w:p>
        </w:tc>
        <w:tc>
          <w:tcPr>
            <w:tcW w:type="dxa" w:w="2736"/>
          </w:tcPr>
          <w:p>
            <w:r/>
            <w:r>
              <w:rPr>
                <w:rFonts w:ascii="Arial" w:hAnsi="Arial"/>
                <w:sz w:val="19"/>
              </w:rPr>
              <w:t>Initiative owners, external experts</w:t>
            </w:r>
          </w:p>
        </w:tc>
        <w:tc>
          <w:tcPr>
            <w:tcW w:type="dxa" w:w="2160"/>
          </w:tcPr>
          <w:p>
            <w:r/>
            <w:r>
              <w:rPr>
                <w:rFonts w:ascii="Arial" w:hAnsi="Arial"/>
                <w:sz w:val="19"/>
              </w:rPr>
              <w:t>No</w:t>
            </w:r>
          </w:p>
        </w:tc>
        <w:tc>
          <w:tcPr>
            <w:tcW w:type="dxa" w:w="2016"/>
          </w:tcPr>
          <w:p>
            <w:r/>
            <w:r>
              <w:rPr>
                <w:rFonts w:ascii="Arial" w:hAnsi="Arial"/>
                <w:sz w:val="19"/>
              </w:rPr>
              <w:t>n/a</w:t>
            </w:r>
          </w:p>
        </w:tc>
      </w:tr>
    </w:tbl>
    <w:p>
      <w:pPr>
        <w:pStyle w:val="Heading2"/>
        <w:spacing w:before="200" w:after="40"/>
      </w:pPr>
      <w:r>
        <w:t>Appointment and tenure</w:t>
      </w:r>
    </w:p>
    <w:p>
      <w:pPr>
        <w:pStyle w:val="ListBullet"/>
        <w:spacing w:after="40"/>
      </w:pPr>
      <w:r>
        <w:t>Members are appointed by the [CEO / Exec Committee] for a renewable term of [12] months.</w:t>
      </w:r>
    </w:p>
    <w:p>
      <w:pPr>
        <w:pStyle w:val="ListBullet"/>
        <w:spacing w:after="40"/>
      </w:pPr>
      <w:r>
        <w:t>Members are expected to attend personally; alternates must be briefed and empowered to decide.</w:t>
      </w:r>
    </w:p>
    <w:p>
      <w:pPr>
        <w:pStyle w:val="ListBullet"/>
        <w:spacing w:after="40"/>
      </w:pPr>
      <w:r>
        <w:t>Membership is reviewed annually for balance across functions, business units and geographies.</w:t>
      </w:r>
    </w:p>
    <w:p>
      <w:pPr>
        <w:pStyle w:val="Heading1"/>
        <w:spacing w:before="280" w:after="80"/>
      </w:pPr>
      <w:r>
        <w:t>4. Meetings and Quorum</w:t>
      </w:r>
    </w:p>
    <w:tbl>
      <w:tblPr>
        <w:tblStyle w:val="TableGrid"/>
        <w:tblW w:type="auto" w:w="0"/>
        <w:jc w:val="center"/>
        <w:tblLook w:firstColumn="1" w:firstRow="1" w:lastColumn="0" w:lastRow="0" w:noHBand="0" w:noVBand="1" w:val="04A0"/>
      </w:tblPr>
      <w:tblGrid>
        <w:gridCol w:w="4824"/>
        <w:gridCol w:w="4824"/>
      </w:tblGrid>
      <w:tr>
        <w:tc>
          <w:tcPr>
            <w:tcW w:type="dxa" w:w="2880"/>
            <w:shd w:val="clear" w:fill="0E1116"/>
          </w:tcPr>
          <w:p>
            <w:r/>
            <w:r>
              <w:rPr>
                <w:rFonts w:ascii="Arial" w:hAnsi="Arial"/>
                <w:b/>
                <w:color w:val="FFFFFF"/>
                <w:sz w:val="19"/>
              </w:rPr>
              <w:t>Item</w:t>
            </w:r>
          </w:p>
        </w:tc>
        <w:tc>
          <w:tcPr>
            <w:tcW w:type="dxa" w:w="6768"/>
            <w:shd w:val="clear" w:fill="0E1116"/>
          </w:tcPr>
          <w:p>
            <w:r/>
            <w:r>
              <w:rPr>
                <w:rFonts w:ascii="Arial" w:hAnsi="Arial"/>
                <w:b/>
                <w:color w:val="FFFFFF"/>
                <w:sz w:val="19"/>
              </w:rPr>
              <w:t>Standard</w:t>
            </w:r>
          </w:p>
        </w:tc>
      </w:tr>
      <w:tr>
        <w:tc>
          <w:tcPr>
            <w:tcW w:type="dxa" w:w="2880"/>
          </w:tcPr>
          <w:p>
            <w:r/>
            <w:r>
              <w:rPr>
                <w:rFonts w:ascii="Arial" w:hAnsi="Arial"/>
                <w:sz w:val="19"/>
              </w:rPr>
              <w:t>Frequency</w:t>
            </w:r>
          </w:p>
        </w:tc>
        <w:tc>
          <w:tcPr>
            <w:tcW w:type="dxa" w:w="6768"/>
          </w:tcPr>
          <w:p>
            <w:r/>
            <w:r>
              <w:rPr>
                <w:rFonts w:ascii="Arial" w:hAnsi="Arial"/>
                <w:sz w:val="19"/>
              </w:rPr>
              <w:t>Monthly, with a quarterly extended portfolio review</w:t>
            </w:r>
          </w:p>
        </w:tc>
      </w:tr>
      <w:tr>
        <w:tc>
          <w:tcPr>
            <w:tcW w:type="dxa" w:w="2880"/>
          </w:tcPr>
          <w:p>
            <w:r/>
            <w:r>
              <w:rPr>
                <w:rFonts w:ascii="Arial" w:hAnsi="Arial"/>
                <w:sz w:val="19"/>
              </w:rPr>
              <w:t>Duration</w:t>
            </w:r>
          </w:p>
        </w:tc>
        <w:tc>
          <w:tcPr>
            <w:tcW w:type="dxa" w:w="6768"/>
          </w:tcPr>
          <w:p>
            <w:r/>
            <w:r>
              <w:rPr>
                <w:rFonts w:ascii="Arial" w:hAnsi="Arial"/>
                <w:sz w:val="19"/>
              </w:rPr>
              <w:t>90 minutes (half day quarterly)</w:t>
            </w:r>
          </w:p>
        </w:tc>
      </w:tr>
      <w:tr>
        <w:tc>
          <w:tcPr>
            <w:tcW w:type="dxa" w:w="2880"/>
          </w:tcPr>
          <w:p>
            <w:r/>
            <w:r>
              <w:rPr>
                <w:rFonts w:ascii="Arial" w:hAnsi="Arial"/>
                <w:sz w:val="19"/>
              </w:rPr>
              <w:t>Quorum</w:t>
            </w:r>
          </w:p>
        </w:tc>
        <w:tc>
          <w:tcPr>
            <w:tcW w:type="dxa" w:w="6768"/>
          </w:tcPr>
          <w:p>
            <w:r/>
            <w:r>
              <w:rPr>
                <w:rFonts w:ascii="Arial" w:hAnsi="Arial"/>
                <w:sz w:val="19"/>
              </w:rPr>
              <w:t>Chair or deputy plus [4] voting members, including finance</w:t>
            </w:r>
          </w:p>
        </w:tc>
      </w:tr>
      <w:tr>
        <w:tc>
          <w:tcPr>
            <w:tcW w:type="dxa" w:w="2880"/>
          </w:tcPr>
          <w:p>
            <w:r/>
            <w:r>
              <w:rPr>
                <w:rFonts w:ascii="Arial" w:hAnsi="Arial"/>
                <w:sz w:val="19"/>
              </w:rPr>
              <w:t>Decision rule</w:t>
            </w:r>
          </w:p>
        </w:tc>
        <w:tc>
          <w:tcPr>
            <w:tcW w:type="dxa" w:w="6768"/>
          </w:tcPr>
          <w:p>
            <w:r/>
            <w:r>
              <w:rPr>
                <w:rFonts w:ascii="Arial" w:hAnsi="Arial"/>
                <w:sz w:val="19"/>
              </w:rPr>
              <w:t>Consensus sought; simple majority of voting members if required; chair holds casting vote</w:t>
            </w:r>
          </w:p>
        </w:tc>
      </w:tr>
      <w:tr>
        <w:tc>
          <w:tcPr>
            <w:tcW w:type="dxa" w:w="2880"/>
          </w:tcPr>
          <w:p>
            <w:r/>
            <w:r>
              <w:rPr>
                <w:rFonts w:ascii="Arial" w:hAnsi="Arial"/>
                <w:sz w:val="19"/>
              </w:rPr>
              <w:t>Papers circulated</w:t>
            </w:r>
          </w:p>
        </w:tc>
        <w:tc>
          <w:tcPr>
            <w:tcW w:type="dxa" w:w="6768"/>
          </w:tcPr>
          <w:p>
            <w:r/>
            <w:r>
              <w:rPr>
                <w:rFonts w:ascii="Arial" w:hAnsi="Arial"/>
                <w:sz w:val="19"/>
              </w:rPr>
              <w:t>No later than [3] business days before the meeting</w:t>
            </w:r>
          </w:p>
        </w:tc>
      </w:tr>
      <w:tr>
        <w:tc>
          <w:tcPr>
            <w:tcW w:type="dxa" w:w="2880"/>
          </w:tcPr>
          <w:p>
            <w:r/>
            <w:r>
              <w:rPr>
                <w:rFonts w:ascii="Arial" w:hAnsi="Arial"/>
                <w:sz w:val="19"/>
              </w:rPr>
              <w:t>Late papers</w:t>
            </w:r>
          </w:p>
        </w:tc>
        <w:tc>
          <w:tcPr>
            <w:tcW w:type="dxa" w:w="6768"/>
          </w:tcPr>
          <w:p>
            <w:r/>
            <w:r>
              <w:rPr>
                <w:rFonts w:ascii="Arial" w:hAnsi="Arial"/>
                <w:sz w:val="19"/>
              </w:rPr>
              <w:t>Not tabled - deferred to the next meeting</w:t>
            </w:r>
          </w:p>
        </w:tc>
      </w:tr>
      <w:tr>
        <w:tc>
          <w:tcPr>
            <w:tcW w:type="dxa" w:w="2880"/>
          </w:tcPr>
          <w:p>
            <w:r/>
            <w:r>
              <w:rPr>
                <w:rFonts w:ascii="Arial" w:hAnsi="Arial"/>
                <w:sz w:val="19"/>
              </w:rPr>
              <w:t>Minutes and decisions</w:t>
            </w:r>
          </w:p>
        </w:tc>
        <w:tc>
          <w:tcPr>
            <w:tcW w:type="dxa" w:w="6768"/>
          </w:tcPr>
          <w:p>
            <w:r/>
            <w:r>
              <w:rPr>
                <w:rFonts w:ascii="Arial" w:hAnsi="Arial"/>
                <w:sz w:val="19"/>
              </w:rPr>
              <w:t>Published within [3] business days</w:t>
            </w:r>
          </w:p>
        </w:tc>
      </w:tr>
      <w:tr>
        <w:tc>
          <w:tcPr>
            <w:tcW w:type="dxa" w:w="2880"/>
          </w:tcPr>
          <w:p>
            <w:r/>
            <w:r>
              <w:rPr>
                <w:rFonts w:ascii="Arial" w:hAnsi="Arial"/>
                <w:sz w:val="19"/>
              </w:rPr>
              <w:t>Conflicts of interest</w:t>
            </w:r>
          </w:p>
        </w:tc>
        <w:tc>
          <w:tcPr>
            <w:tcW w:type="dxa" w:w="6768"/>
          </w:tcPr>
          <w:p>
            <w:r/>
            <w:r>
              <w:rPr>
                <w:rFonts w:ascii="Arial" w:hAnsi="Arial"/>
                <w:sz w:val="19"/>
              </w:rPr>
              <w:t>Declared at the start; conflicted members recuse from that decision</w:t>
            </w:r>
          </w:p>
        </w:tc>
      </w:tr>
    </w:tbl>
    <w:p>
      <w:pPr>
        <w:pStyle w:val="Heading1"/>
        <w:spacing w:before="280" w:after="80"/>
      </w:pPr>
      <w:r>
        <w:t>5. Standing Agenda</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576"/>
            <w:shd w:val="clear" w:fill="0E1116"/>
          </w:tcPr>
          <w:p>
            <w:r/>
            <w:r>
              <w:rPr>
                <w:rFonts w:ascii="Arial" w:hAnsi="Arial"/>
                <w:b/>
                <w:color w:val="FFFFFF"/>
                <w:sz w:val="19"/>
              </w:rPr>
              <w:t>#</w:t>
            </w:r>
          </w:p>
        </w:tc>
        <w:tc>
          <w:tcPr>
            <w:tcW w:type="dxa" w:w="5040"/>
            <w:shd w:val="clear" w:fill="0E1116"/>
          </w:tcPr>
          <w:p>
            <w:r/>
            <w:r>
              <w:rPr>
                <w:rFonts w:ascii="Arial" w:hAnsi="Arial"/>
                <w:b/>
                <w:color w:val="FFFFFF"/>
                <w:sz w:val="19"/>
              </w:rPr>
              <w:t>Agenda item</w:t>
            </w:r>
          </w:p>
        </w:tc>
        <w:tc>
          <w:tcPr>
            <w:tcW w:type="dxa" w:w="1296"/>
            <w:shd w:val="clear" w:fill="0E1116"/>
          </w:tcPr>
          <w:p>
            <w:r/>
            <w:r>
              <w:rPr>
                <w:rFonts w:ascii="Arial" w:hAnsi="Arial"/>
                <w:b/>
                <w:color w:val="FFFFFF"/>
                <w:sz w:val="19"/>
              </w:rPr>
              <w:t>Time</w:t>
            </w:r>
          </w:p>
        </w:tc>
        <w:tc>
          <w:tcPr>
            <w:tcW w:type="dxa" w:w="2736"/>
            <w:shd w:val="clear" w:fill="0E1116"/>
          </w:tcPr>
          <w:p>
            <w:r/>
            <w:r>
              <w:rPr>
                <w:rFonts w:ascii="Arial" w:hAnsi="Arial"/>
                <w:b/>
                <w:color w:val="FFFFFF"/>
                <w:sz w:val="19"/>
              </w:rPr>
              <w:t>Owner</w:t>
            </w:r>
          </w:p>
        </w:tc>
      </w:tr>
      <w:tr>
        <w:tc>
          <w:tcPr>
            <w:tcW w:type="dxa" w:w="576"/>
          </w:tcPr>
          <w:p>
            <w:r/>
            <w:r>
              <w:rPr>
                <w:rFonts w:ascii="Arial" w:hAnsi="Arial"/>
                <w:sz w:val="19"/>
              </w:rPr>
              <w:t>1</w:t>
            </w:r>
          </w:p>
        </w:tc>
        <w:tc>
          <w:tcPr>
            <w:tcW w:type="dxa" w:w="5040"/>
          </w:tcPr>
          <w:p>
            <w:r/>
            <w:r>
              <w:rPr>
                <w:rFonts w:ascii="Arial" w:hAnsi="Arial"/>
                <w:sz w:val="19"/>
              </w:rPr>
              <w:t>Actions and decisions from the last meeting</w:t>
            </w:r>
          </w:p>
        </w:tc>
        <w:tc>
          <w:tcPr>
            <w:tcW w:type="dxa" w:w="1296"/>
          </w:tcPr>
          <w:p>
            <w:r/>
            <w:r>
              <w:rPr>
                <w:rFonts w:ascii="Arial" w:hAnsi="Arial"/>
                <w:sz w:val="19"/>
              </w:rPr>
              <w:t>5 min</w:t>
            </w:r>
          </w:p>
        </w:tc>
        <w:tc>
          <w:tcPr>
            <w:tcW w:type="dxa" w:w="2736"/>
          </w:tcPr>
          <w:p>
            <w:r/>
            <w:r>
              <w:rPr>
                <w:rFonts w:ascii="Arial" w:hAnsi="Arial"/>
                <w:sz w:val="19"/>
              </w:rPr>
              <w:t>Secretary</w:t>
            </w:r>
          </w:p>
        </w:tc>
      </w:tr>
      <w:tr>
        <w:tc>
          <w:tcPr>
            <w:tcW w:type="dxa" w:w="576"/>
          </w:tcPr>
          <w:p>
            <w:r/>
            <w:r>
              <w:rPr>
                <w:rFonts w:ascii="Arial" w:hAnsi="Arial"/>
                <w:sz w:val="19"/>
              </w:rPr>
              <w:t>2</w:t>
            </w:r>
          </w:p>
        </w:tc>
        <w:tc>
          <w:tcPr>
            <w:tcW w:type="dxa" w:w="5040"/>
          </w:tcPr>
          <w:p>
            <w:r/>
            <w:r>
              <w:rPr>
                <w:rFonts w:ascii="Arial" w:hAnsi="Arial"/>
                <w:sz w:val="19"/>
              </w:rPr>
              <w:t>Portfolio health: budget, stage mix, cycle time</w:t>
            </w:r>
          </w:p>
        </w:tc>
        <w:tc>
          <w:tcPr>
            <w:tcW w:type="dxa" w:w="1296"/>
          </w:tcPr>
          <w:p>
            <w:r/>
            <w:r>
              <w:rPr>
                <w:rFonts w:ascii="Arial" w:hAnsi="Arial"/>
                <w:sz w:val="19"/>
              </w:rPr>
              <w:t>15 min</w:t>
            </w:r>
          </w:p>
        </w:tc>
        <w:tc>
          <w:tcPr>
            <w:tcW w:type="dxa" w:w="2736"/>
          </w:tcPr>
          <w:p>
            <w:r/>
            <w:r>
              <w:rPr>
                <w:rFonts w:ascii="Arial" w:hAnsi="Arial"/>
                <w:sz w:val="19"/>
              </w:rPr>
              <w:t>Programme lead</w:t>
            </w:r>
          </w:p>
        </w:tc>
      </w:tr>
      <w:tr>
        <w:tc>
          <w:tcPr>
            <w:tcW w:type="dxa" w:w="576"/>
          </w:tcPr>
          <w:p>
            <w:r/>
            <w:r>
              <w:rPr>
                <w:rFonts w:ascii="Arial" w:hAnsi="Arial"/>
                <w:sz w:val="19"/>
              </w:rPr>
              <w:t>3</w:t>
            </w:r>
          </w:p>
        </w:tc>
        <w:tc>
          <w:tcPr>
            <w:tcW w:type="dxa" w:w="5040"/>
          </w:tcPr>
          <w:p>
            <w:r/>
            <w:r>
              <w:rPr>
                <w:rFonts w:ascii="Arial" w:hAnsi="Arial"/>
                <w:sz w:val="19"/>
              </w:rPr>
              <w:t>Stage-gate decisions (fund / iterate / pivot / stop)</w:t>
            </w:r>
          </w:p>
        </w:tc>
        <w:tc>
          <w:tcPr>
            <w:tcW w:type="dxa" w:w="1296"/>
          </w:tcPr>
          <w:p>
            <w:r/>
            <w:r>
              <w:rPr>
                <w:rFonts w:ascii="Arial" w:hAnsi="Arial"/>
                <w:sz w:val="19"/>
              </w:rPr>
              <w:t>40 min</w:t>
            </w:r>
          </w:p>
        </w:tc>
        <w:tc>
          <w:tcPr>
            <w:tcW w:type="dxa" w:w="2736"/>
          </w:tcPr>
          <w:p>
            <w:r/>
            <w:r>
              <w:rPr>
                <w:rFonts w:ascii="Arial" w:hAnsi="Arial"/>
                <w:sz w:val="19"/>
              </w:rPr>
              <w:t>Initiative owners</w:t>
            </w:r>
          </w:p>
        </w:tc>
      </w:tr>
      <w:tr>
        <w:tc>
          <w:tcPr>
            <w:tcW w:type="dxa" w:w="576"/>
          </w:tcPr>
          <w:p>
            <w:r/>
            <w:r>
              <w:rPr>
                <w:rFonts w:ascii="Arial" w:hAnsi="Arial"/>
                <w:sz w:val="19"/>
              </w:rPr>
              <w:t>4</w:t>
            </w:r>
          </w:p>
        </w:tc>
        <w:tc>
          <w:tcPr>
            <w:tcW w:type="dxa" w:w="5040"/>
          </w:tcPr>
          <w:p>
            <w:r/>
            <w:r>
              <w:rPr>
                <w:rFonts w:ascii="Arial" w:hAnsi="Arial"/>
                <w:sz w:val="19"/>
              </w:rPr>
              <w:t>Escalations and blockers</w:t>
            </w:r>
          </w:p>
        </w:tc>
        <w:tc>
          <w:tcPr>
            <w:tcW w:type="dxa" w:w="1296"/>
          </w:tcPr>
          <w:p>
            <w:r/>
            <w:r>
              <w:rPr>
                <w:rFonts w:ascii="Arial" w:hAnsi="Arial"/>
                <w:sz w:val="19"/>
              </w:rPr>
              <w:t>15 min</w:t>
            </w:r>
          </w:p>
        </w:tc>
        <w:tc>
          <w:tcPr>
            <w:tcW w:type="dxa" w:w="2736"/>
          </w:tcPr>
          <w:p>
            <w:r/>
            <w:r>
              <w:rPr>
                <w:rFonts w:ascii="Arial" w:hAnsi="Arial"/>
                <w:sz w:val="19"/>
              </w:rPr>
              <w:t>Chair</w:t>
            </w:r>
          </w:p>
        </w:tc>
      </w:tr>
      <w:tr>
        <w:tc>
          <w:tcPr>
            <w:tcW w:type="dxa" w:w="576"/>
          </w:tcPr>
          <w:p>
            <w:r/>
            <w:r>
              <w:rPr>
                <w:rFonts w:ascii="Arial" w:hAnsi="Arial"/>
                <w:sz w:val="19"/>
              </w:rPr>
              <w:t>5</w:t>
            </w:r>
          </w:p>
        </w:tc>
        <w:tc>
          <w:tcPr>
            <w:tcW w:type="dxa" w:w="5040"/>
          </w:tcPr>
          <w:p>
            <w:r/>
            <w:r>
              <w:rPr>
                <w:rFonts w:ascii="Arial" w:hAnsi="Arial"/>
                <w:sz w:val="19"/>
              </w:rPr>
              <w:t>Learning review from a stopped or pivoted initiative</w:t>
            </w:r>
          </w:p>
        </w:tc>
        <w:tc>
          <w:tcPr>
            <w:tcW w:type="dxa" w:w="1296"/>
          </w:tcPr>
          <w:p>
            <w:r/>
            <w:r>
              <w:rPr>
                <w:rFonts w:ascii="Arial" w:hAnsi="Arial"/>
                <w:sz w:val="19"/>
              </w:rPr>
              <w:t>10 min</w:t>
            </w:r>
          </w:p>
        </w:tc>
        <w:tc>
          <w:tcPr>
            <w:tcW w:type="dxa" w:w="2736"/>
          </w:tcPr>
          <w:p>
            <w:r/>
            <w:r>
              <w:rPr>
                <w:rFonts w:ascii="Arial" w:hAnsi="Arial"/>
                <w:sz w:val="19"/>
              </w:rPr>
              <w:t>Rotating</w:t>
            </w:r>
          </w:p>
        </w:tc>
      </w:tr>
      <w:tr>
        <w:tc>
          <w:tcPr>
            <w:tcW w:type="dxa" w:w="576"/>
          </w:tcPr>
          <w:p>
            <w:r/>
            <w:r>
              <w:rPr>
                <w:rFonts w:ascii="Arial" w:hAnsi="Arial"/>
                <w:sz w:val="19"/>
              </w:rPr>
              <w:t>6</w:t>
            </w:r>
          </w:p>
        </w:tc>
        <w:tc>
          <w:tcPr>
            <w:tcW w:type="dxa" w:w="5040"/>
          </w:tcPr>
          <w:p>
            <w:r/>
            <w:r>
              <w:rPr>
                <w:rFonts w:ascii="Arial" w:hAnsi="Arial"/>
                <w:sz w:val="19"/>
              </w:rPr>
              <w:t>Decisions, owners and dates confirmed</w:t>
            </w:r>
          </w:p>
        </w:tc>
        <w:tc>
          <w:tcPr>
            <w:tcW w:type="dxa" w:w="1296"/>
          </w:tcPr>
          <w:p>
            <w:r/>
            <w:r>
              <w:rPr>
                <w:rFonts w:ascii="Arial" w:hAnsi="Arial"/>
                <w:sz w:val="19"/>
              </w:rPr>
              <w:t>5 min</w:t>
            </w:r>
          </w:p>
        </w:tc>
        <w:tc>
          <w:tcPr>
            <w:tcW w:type="dxa" w:w="2736"/>
          </w:tcPr>
          <w:p>
            <w:r/>
            <w:r>
              <w:rPr>
                <w:rFonts w:ascii="Arial" w:hAnsi="Arial"/>
                <w:sz w:val="19"/>
              </w:rPr>
              <w:t>Secretary</w:t>
            </w:r>
          </w:p>
        </w:tc>
      </w:tr>
    </w:tbl>
    <w:p>
      <w:pPr>
        <w:pStyle w:val="Heading1"/>
        <w:spacing w:before="280" w:after="80"/>
      </w:pPr>
      <w:r>
        <w:t>6. Decision Standards</w:t>
      </w:r>
    </w:p>
    <w:p>
      <w:pPr>
        <w:spacing w:after="120"/>
      </w:pPr>
      <w:r>
        <w:rPr>
          <w:i w:val="0"/>
        </w:rPr>
        <w:t>To be tabled for a funding decision, an initiative must present:</w:t>
      </w:r>
    </w:p>
    <w:p>
      <w:pPr>
        <w:pStyle w:val="ListNumber"/>
        <w:spacing w:after="40"/>
      </w:pPr>
      <w:r>
        <w:t>The customer or business problem, quantified.</w:t>
      </w:r>
    </w:p>
    <w:p>
      <w:pPr>
        <w:pStyle w:val="ListNumber"/>
        <w:spacing w:after="40"/>
      </w:pPr>
      <w:r>
        <w:t>Evidence gathered since the last gate, including what was disproved.</w:t>
      </w:r>
    </w:p>
    <w:p>
      <w:pPr>
        <w:pStyle w:val="ListNumber"/>
        <w:spacing w:after="40"/>
      </w:pPr>
      <w:r>
        <w:t>The value logic and its two most fragile assumptions.</w:t>
      </w:r>
    </w:p>
    <w:p>
      <w:pPr>
        <w:pStyle w:val="ListNumber"/>
        <w:spacing w:after="40"/>
      </w:pPr>
      <w:r>
        <w:t>The specific ask: money, people, decisions and by when.</w:t>
      </w:r>
    </w:p>
    <w:p>
      <w:pPr>
        <w:pStyle w:val="ListNumber"/>
        <w:spacing w:after="40"/>
      </w:pPr>
      <w:r>
        <w:t>The kill criteria that would end the initiative.</w:t>
      </w:r>
    </w:p>
    <w:p>
      <w:pPr>
        <w:spacing w:after="120"/>
      </w:pPr>
      <w:r>
        <w:rPr>
          <w:i w:val="0"/>
          <w:color w:val="6B7280"/>
        </w:rPr>
        <w:t>Initiatives without kill criteria are not approved.</w:t>
      </w:r>
    </w:p>
    <w:p>
      <w:pPr>
        <w:pStyle w:val="Heading1"/>
        <w:spacing w:before="280" w:after="80"/>
      </w:pPr>
      <w:r>
        <w:t>7. Reporting and Accountability</w:t>
      </w:r>
    </w:p>
    <w:p>
      <w:pPr>
        <w:pStyle w:val="ListBullet"/>
        <w:spacing w:after="40"/>
      </w:pPr>
      <w:r>
        <w:t>The committee reports to the [Executive Committee] quarterly and to the Board [annually].</w:t>
      </w:r>
    </w:p>
    <w:p>
      <w:pPr>
        <w:pStyle w:val="ListBullet"/>
        <w:spacing w:after="40"/>
      </w:pPr>
      <w:r>
        <w:t>The programme lead maintains the portfolio record of decisions, funding and outcomes.</w:t>
      </w:r>
    </w:p>
    <w:p>
      <w:pPr>
        <w:pStyle w:val="ListBullet"/>
        <w:spacing w:after="40"/>
      </w:pPr>
      <w:r>
        <w:t>Decisions are auditable: every funding decision references the paper and the minute number.</w:t>
      </w:r>
    </w:p>
    <w:p>
      <w:pPr>
        <w:pStyle w:val="Heading1"/>
        <w:spacing w:before="280" w:after="80"/>
      </w:pPr>
      <w:r>
        <w:t>8. Committee Effectiveness Measures</w:t>
      </w:r>
    </w:p>
    <w:tbl>
      <w:tblPr>
        <w:tblStyle w:val="TableGrid"/>
        <w:tblW w:type="auto" w:w="0"/>
        <w:jc w:val="center"/>
        <w:tblLook w:firstColumn="1" w:firstRow="1" w:lastColumn="0" w:lastRow="0" w:noHBand="0" w:noVBand="1" w:val="04A0"/>
      </w:tblPr>
      <w:tblGrid>
        <w:gridCol w:w="3216"/>
        <w:gridCol w:w="3216"/>
        <w:gridCol w:w="3216"/>
      </w:tblGrid>
      <w:tr>
        <w:tc>
          <w:tcPr>
            <w:tcW w:type="dxa" w:w="4608"/>
            <w:shd w:val="clear" w:fill="0E1116"/>
          </w:tcPr>
          <w:p>
            <w:r/>
            <w:r>
              <w:rPr>
                <w:rFonts w:ascii="Arial" w:hAnsi="Arial"/>
                <w:b/>
                <w:color w:val="FFFFFF"/>
                <w:sz w:val="19"/>
              </w:rPr>
              <w:t>Measure</w:t>
            </w:r>
          </w:p>
        </w:tc>
        <w:tc>
          <w:tcPr>
            <w:tcW w:type="dxa" w:w="2880"/>
            <w:shd w:val="clear" w:fill="0E1116"/>
          </w:tcPr>
          <w:p>
            <w:r/>
            <w:r>
              <w:rPr>
                <w:rFonts w:ascii="Arial" w:hAnsi="Arial"/>
                <w:b/>
                <w:color w:val="FFFFFF"/>
                <w:sz w:val="19"/>
              </w:rPr>
              <w:t>Target</w:t>
            </w:r>
          </w:p>
        </w:tc>
        <w:tc>
          <w:tcPr>
            <w:tcW w:type="dxa" w:w="2160"/>
            <w:shd w:val="clear" w:fill="0E1116"/>
          </w:tcPr>
          <w:p>
            <w:r/>
            <w:r>
              <w:rPr>
                <w:rFonts w:ascii="Arial" w:hAnsi="Arial"/>
                <w:b/>
                <w:color w:val="FFFFFF"/>
                <w:sz w:val="19"/>
              </w:rPr>
              <w:t>Reviewed</w:t>
            </w:r>
          </w:p>
        </w:tc>
      </w:tr>
      <w:tr>
        <w:tc>
          <w:tcPr>
            <w:tcW w:type="dxa" w:w="4608"/>
          </w:tcPr>
          <w:p>
            <w:r/>
            <w:r>
              <w:rPr>
                <w:rFonts w:ascii="Arial" w:hAnsi="Arial"/>
                <w:sz w:val="19"/>
              </w:rPr>
              <w:t>Median time from paper submitted to decision</w:t>
            </w:r>
          </w:p>
        </w:tc>
        <w:tc>
          <w:tcPr>
            <w:tcW w:type="dxa" w:w="2880"/>
          </w:tcPr>
          <w:p>
            <w:r/>
            <w:r>
              <w:rPr>
                <w:rFonts w:ascii="Arial" w:hAnsi="Arial"/>
                <w:sz w:val="19"/>
              </w:rPr>
              <w:t>&lt;= [15] days</w:t>
            </w:r>
          </w:p>
        </w:tc>
        <w:tc>
          <w:tcPr>
            <w:tcW w:type="dxa" w:w="2160"/>
          </w:tcPr>
          <w:p>
            <w:r/>
            <w:r>
              <w:rPr>
                <w:rFonts w:ascii="Arial" w:hAnsi="Arial"/>
                <w:sz w:val="19"/>
              </w:rPr>
              <w:t>Quarterly</w:t>
            </w:r>
          </w:p>
        </w:tc>
      </w:tr>
      <w:tr>
        <w:tc>
          <w:tcPr>
            <w:tcW w:type="dxa" w:w="4608"/>
          </w:tcPr>
          <w:p>
            <w:r/>
            <w:r>
              <w:rPr>
                <w:rFonts w:ascii="Arial" w:hAnsi="Arial"/>
                <w:sz w:val="19"/>
              </w:rPr>
              <w:t>Decisions deferred more than once</w:t>
            </w:r>
          </w:p>
        </w:tc>
        <w:tc>
          <w:tcPr>
            <w:tcW w:type="dxa" w:w="2880"/>
          </w:tcPr>
          <w:p>
            <w:r/>
            <w:r>
              <w:rPr>
                <w:rFonts w:ascii="Arial" w:hAnsi="Arial"/>
                <w:sz w:val="19"/>
              </w:rPr>
              <w:t>&lt;= [10]%</w:t>
            </w:r>
          </w:p>
        </w:tc>
        <w:tc>
          <w:tcPr>
            <w:tcW w:type="dxa" w:w="2160"/>
          </w:tcPr>
          <w:p>
            <w:r/>
            <w:r>
              <w:rPr>
                <w:rFonts w:ascii="Arial" w:hAnsi="Arial"/>
                <w:sz w:val="19"/>
              </w:rPr>
              <w:t>Quarterly</w:t>
            </w:r>
          </w:p>
        </w:tc>
      </w:tr>
      <w:tr>
        <w:tc>
          <w:tcPr>
            <w:tcW w:type="dxa" w:w="4608"/>
          </w:tcPr>
          <w:p>
            <w:r/>
            <w:r>
              <w:rPr>
                <w:rFonts w:ascii="Arial" w:hAnsi="Arial"/>
                <w:sz w:val="19"/>
              </w:rPr>
              <w:t>Attendance (voting members, in person)</w:t>
            </w:r>
          </w:p>
        </w:tc>
        <w:tc>
          <w:tcPr>
            <w:tcW w:type="dxa" w:w="2880"/>
          </w:tcPr>
          <w:p>
            <w:r/>
            <w:r>
              <w:rPr>
                <w:rFonts w:ascii="Arial" w:hAnsi="Arial"/>
                <w:sz w:val="19"/>
              </w:rPr>
              <w:t>&gt;= [85]%</w:t>
            </w:r>
          </w:p>
        </w:tc>
        <w:tc>
          <w:tcPr>
            <w:tcW w:type="dxa" w:w="2160"/>
          </w:tcPr>
          <w:p>
            <w:r/>
            <w:r>
              <w:rPr>
                <w:rFonts w:ascii="Arial" w:hAnsi="Arial"/>
                <w:sz w:val="19"/>
              </w:rPr>
              <w:t>Quarterly</w:t>
            </w:r>
          </w:p>
        </w:tc>
      </w:tr>
      <w:tr>
        <w:tc>
          <w:tcPr>
            <w:tcW w:type="dxa" w:w="4608"/>
          </w:tcPr>
          <w:p>
            <w:r/>
            <w:r>
              <w:rPr>
                <w:rFonts w:ascii="Arial" w:hAnsi="Arial"/>
                <w:sz w:val="19"/>
              </w:rPr>
              <w:t>Portfolio share in pilot or scale stage</w:t>
            </w:r>
          </w:p>
        </w:tc>
        <w:tc>
          <w:tcPr>
            <w:tcW w:type="dxa" w:w="2880"/>
          </w:tcPr>
          <w:p>
            <w:r/>
            <w:r>
              <w:rPr>
                <w:rFonts w:ascii="Arial" w:hAnsi="Arial"/>
                <w:sz w:val="19"/>
              </w:rPr>
              <w:t>[ ]%</w:t>
            </w:r>
          </w:p>
        </w:tc>
        <w:tc>
          <w:tcPr>
            <w:tcW w:type="dxa" w:w="2160"/>
          </w:tcPr>
          <w:p>
            <w:r/>
            <w:r>
              <w:rPr>
                <w:rFonts w:ascii="Arial" w:hAnsi="Arial"/>
                <w:sz w:val="19"/>
              </w:rPr>
              <w:t>Quarterly</w:t>
            </w:r>
          </w:p>
        </w:tc>
      </w:tr>
      <w:tr>
        <w:tc>
          <w:tcPr>
            <w:tcW w:type="dxa" w:w="4608"/>
          </w:tcPr>
          <w:p>
            <w:r/>
            <w:r>
              <w:rPr>
                <w:rFonts w:ascii="Arial" w:hAnsi="Arial"/>
                <w:sz w:val="19"/>
              </w:rPr>
              <w:t>Initiatives stopped on kill criteria</w:t>
            </w:r>
          </w:p>
        </w:tc>
        <w:tc>
          <w:tcPr>
            <w:tcW w:type="dxa" w:w="2880"/>
          </w:tcPr>
          <w:p>
            <w:r/>
            <w:r>
              <w:rPr>
                <w:rFonts w:ascii="Arial" w:hAnsi="Arial"/>
                <w:sz w:val="19"/>
              </w:rPr>
              <w:t>&gt;= [20]% of portfolio annually</w:t>
            </w:r>
          </w:p>
        </w:tc>
        <w:tc>
          <w:tcPr>
            <w:tcW w:type="dxa" w:w="2160"/>
          </w:tcPr>
          <w:p>
            <w:r/>
            <w:r>
              <w:rPr>
                <w:rFonts w:ascii="Arial" w:hAnsi="Arial"/>
                <w:sz w:val="19"/>
              </w:rPr>
              <w:t>Annually</w:t>
            </w:r>
          </w:p>
        </w:tc>
      </w:tr>
      <w:tr>
        <w:tc>
          <w:tcPr>
            <w:tcW w:type="dxa" w:w="4608"/>
          </w:tcPr>
          <w:p>
            <w:r/>
            <w:r>
              <w:rPr>
                <w:rFonts w:ascii="Arial" w:hAnsi="Arial"/>
                <w:sz w:val="19"/>
              </w:rPr>
              <w:t>Value delivered against committed benefits</w:t>
            </w:r>
          </w:p>
        </w:tc>
        <w:tc>
          <w:tcPr>
            <w:tcW w:type="dxa" w:w="2880"/>
          </w:tcPr>
          <w:p>
            <w:r/>
            <w:r>
              <w:rPr>
                <w:rFonts w:ascii="Arial" w:hAnsi="Arial"/>
                <w:sz w:val="19"/>
              </w:rPr>
              <w:t>[ ]</w:t>
            </w:r>
          </w:p>
        </w:tc>
        <w:tc>
          <w:tcPr>
            <w:tcW w:type="dxa" w:w="2160"/>
          </w:tcPr>
          <w:p>
            <w:r/>
            <w:r>
              <w:rPr>
                <w:rFonts w:ascii="Arial" w:hAnsi="Arial"/>
                <w:sz w:val="19"/>
              </w:rPr>
              <w:t>Annually</w:t>
            </w:r>
          </w:p>
        </w:tc>
      </w:tr>
    </w:tbl>
    <w:p>
      <w:pPr>
        <w:pStyle w:val="Heading1"/>
        <w:spacing w:before="280" w:after="80"/>
      </w:pPr>
      <w:r>
        <w:t>9. Review and Approval</w:t>
      </w:r>
    </w:p>
    <w:p>
      <w:pPr>
        <w:spacing w:after="120"/>
      </w:pPr>
      <w:r>
        <w:rPr>
          <w:i w:val="0"/>
        </w:rPr>
        <w:t>This charter is reviewed annually by the committee and approved by the [Executive Committee]. Material changes to authority thresholds require [CFO] and [CEO] approval.</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1440"/>
            <w:shd w:val="clear" w:fill="0E1116"/>
          </w:tcPr>
          <w:p>
            <w:r/>
            <w:r>
              <w:rPr>
                <w:rFonts w:ascii="Arial" w:hAnsi="Arial"/>
                <w:b/>
                <w:color w:val="FFFFFF"/>
                <w:sz w:val="19"/>
              </w:rPr>
              <w:t>Version</w:t>
            </w:r>
          </w:p>
        </w:tc>
        <w:tc>
          <w:tcPr>
            <w:tcW w:type="dxa" w:w="2304"/>
            <w:shd w:val="clear" w:fill="0E1116"/>
          </w:tcPr>
          <w:p>
            <w:r/>
            <w:r>
              <w:rPr>
                <w:rFonts w:ascii="Arial" w:hAnsi="Arial"/>
                <w:b/>
                <w:color w:val="FFFFFF"/>
                <w:sz w:val="19"/>
              </w:rPr>
              <w:t>Date</w:t>
            </w:r>
          </w:p>
        </w:tc>
        <w:tc>
          <w:tcPr>
            <w:tcW w:type="dxa" w:w="2880"/>
            <w:shd w:val="clear" w:fill="0E1116"/>
          </w:tcPr>
          <w:p>
            <w:r/>
            <w:r>
              <w:rPr>
                <w:rFonts w:ascii="Arial" w:hAnsi="Arial"/>
                <w:b/>
                <w:color w:val="FFFFFF"/>
                <w:sz w:val="19"/>
              </w:rPr>
              <w:t>Author</w:t>
            </w:r>
          </w:p>
        </w:tc>
        <w:tc>
          <w:tcPr>
            <w:tcW w:type="dxa" w:w="3024"/>
            <w:shd w:val="clear" w:fill="0E1116"/>
          </w:tcPr>
          <w:p>
            <w:r/>
            <w:r>
              <w:rPr>
                <w:rFonts w:ascii="Arial" w:hAnsi="Arial"/>
                <w:b/>
                <w:color w:val="FFFFFF"/>
                <w:sz w:val="19"/>
              </w:rPr>
              <w:t>Approved by</w:t>
            </w:r>
          </w:p>
        </w:tc>
      </w:tr>
      <w:tr>
        <w:tc>
          <w:tcPr>
            <w:tcW w:type="dxa" w:w="1440"/>
          </w:tcPr>
          <w:p>
            <w:r/>
            <w:r>
              <w:rPr>
                <w:rFonts w:ascii="Arial" w:hAnsi="Arial"/>
                <w:sz w:val="19"/>
              </w:rPr>
              <w:t>1.0</w:t>
            </w:r>
          </w:p>
        </w:tc>
        <w:tc>
          <w:tcPr>
            <w:tcW w:type="dxa" w:w="2304"/>
          </w:tcPr>
          <w:p>
            <w:r/>
            <w:r>
              <w:rPr>
                <w:rFonts w:ascii="Arial" w:hAnsi="Arial"/>
                <w:sz w:val="19"/>
              </w:rPr>
              <w:t>[dd mmm yyyy]</w:t>
            </w:r>
          </w:p>
        </w:tc>
        <w:tc>
          <w:tcPr>
            <w:tcW w:type="dxa" w:w="2880"/>
          </w:tcPr>
          <w:p>
            <w:r/>
            <w:r>
              <w:rPr>
                <w:rFonts w:ascii="Arial" w:hAnsi="Arial"/>
                <w:sz w:val="19"/>
              </w:rPr>
              <w:t>[Name]</w:t>
            </w:r>
          </w:p>
        </w:tc>
        <w:tc>
          <w:tcPr>
            <w:tcW w:type="dxa" w:w="3024"/>
          </w:tcPr>
          <w:p>
            <w:r/>
            <w:r>
              <w:rPr>
                <w:rFonts w:ascii="Arial" w:hAnsi="Arial"/>
                <w:sz w:val="19"/>
              </w:rPr>
              <w:t>[Name, title]</w:t>
            </w:r>
          </w:p>
        </w:tc>
      </w:tr>
      <w:tr>
        <w:tc>
          <w:tcPr>
            <w:tcW w:type="dxa" w:w="1440"/>
          </w:tcPr>
          <w:p>
            <w:r/>
            <w:r>
              <w:rPr>
                <w:rFonts w:ascii="Arial" w:hAnsi="Arial"/>
                <w:sz w:val="19"/>
              </w:rPr>
            </w:r>
          </w:p>
        </w:tc>
        <w:tc>
          <w:tcPr>
            <w:tcW w:type="dxa" w:w="2304"/>
          </w:tcPr>
          <w:p>
            <w:r/>
            <w:r>
              <w:rPr>
                <w:rFonts w:ascii="Arial" w:hAnsi="Arial"/>
                <w:sz w:val="19"/>
              </w:rPr>
            </w:r>
          </w:p>
        </w:tc>
        <w:tc>
          <w:tcPr>
            <w:tcW w:type="dxa" w:w="2880"/>
          </w:tcPr>
          <w:p>
            <w:r/>
            <w:r>
              <w:rPr>
                <w:rFonts w:ascii="Arial" w:hAnsi="Arial"/>
                <w:sz w:val="19"/>
              </w:rPr>
            </w:r>
          </w:p>
        </w:tc>
        <w:tc>
          <w:tcPr>
            <w:tcW w:type="dxa" w:w="3024"/>
          </w:tcPr>
          <w:p>
            <w:r/>
            <w:r>
              <w:rPr>
                <w:rFonts w:ascii="Arial" w:hAnsi="Arial"/>
                <w:sz w:val="19"/>
              </w:rPr>
            </w:r>
          </w:p>
        </w:tc>
      </w:tr>
    </w:tbl>
    <w:tbl>
      <w:tblPr>
        <w:tblStyle w:val="TableGrid"/>
        <w:tblW w:type="auto" w:w="0"/>
        <w:jc w:val="center"/>
        <w:tblLook w:firstColumn="1" w:firstRow="1" w:lastColumn="0" w:lastRow="0" w:noHBand="0" w:noVBand="1" w:val="04A0"/>
      </w:tblPr>
      <w:tblGrid>
        <w:gridCol w:w="4824"/>
        <w:gridCol w:w="4824"/>
      </w:tblGrid>
      <w:tr>
        <w:tc>
          <w:tcPr>
            <w:tcW w:type="dxa" w:w="4824"/>
            <w:shd w:val="clear" w:fill="0E1116"/>
          </w:tcPr>
          <w:p>
            <w:r/>
            <w:r>
              <w:rPr>
                <w:rFonts w:ascii="Arial" w:hAnsi="Arial"/>
                <w:b/>
                <w:color w:val="FFFFFF"/>
                <w:sz w:val="19"/>
              </w:rPr>
              <w:t>Chair</w:t>
            </w:r>
          </w:p>
        </w:tc>
        <w:tc>
          <w:tcPr>
            <w:tcW w:type="dxa" w:w="4824"/>
            <w:shd w:val="clear" w:fill="0E1116"/>
          </w:tcPr>
          <w:p>
            <w:r/>
            <w:r>
              <w:rPr>
                <w:rFonts w:ascii="Arial" w:hAnsi="Arial"/>
                <w:b/>
                <w:color w:val="FFFFFF"/>
                <w:sz w:val="19"/>
              </w:rPr>
              <w:t>Executive Sponsor</w:t>
            </w:r>
          </w:p>
        </w:tc>
      </w:tr>
      <w:tr>
        <w:tc>
          <w:tcPr>
            <w:tcW w:type="dxa" w:w="4824"/>
          </w:tcPr>
          <w:p>
            <w:r/>
            <w:r>
              <w:rPr>
                <w:rFonts w:ascii="Arial" w:hAnsi="Arial"/>
                <w:sz w:val="19"/>
              </w:rPr>
              <w:t>Name: ____________________</w:t>
            </w:r>
          </w:p>
        </w:tc>
        <w:tc>
          <w:tcPr>
            <w:tcW w:type="dxa" w:w="4824"/>
          </w:tcPr>
          <w:p>
            <w:r/>
            <w:r>
              <w:rPr>
                <w:rFonts w:ascii="Arial" w:hAnsi="Arial"/>
                <w:sz w:val="19"/>
              </w:rPr>
              <w:t>Name: ____________________</w:t>
            </w:r>
          </w:p>
        </w:tc>
      </w:tr>
      <w:tr>
        <w:tc>
          <w:tcPr>
            <w:tcW w:type="dxa" w:w="4824"/>
          </w:tcPr>
          <w:p>
            <w:r/>
            <w:r>
              <w:rPr>
                <w:rFonts w:ascii="Arial" w:hAnsi="Arial"/>
                <w:sz w:val="19"/>
              </w:rPr>
              <w:t>Signature: ________________</w:t>
            </w:r>
          </w:p>
        </w:tc>
        <w:tc>
          <w:tcPr>
            <w:tcW w:type="dxa" w:w="4824"/>
          </w:tcPr>
          <w:p>
            <w:r/>
            <w:r>
              <w:rPr>
                <w:rFonts w:ascii="Arial" w:hAnsi="Arial"/>
                <w:sz w:val="19"/>
              </w:rPr>
              <w:t>Signature: ________________</w:t>
            </w:r>
          </w:p>
        </w:tc>
      </w:tr>
      <w:tr>
        <w:tc>
          <w:tcPr>
            <w:tcW w:type="dxa" w:w="4824"/>
          </w:tcPr>
          <w:p>
            <w:r/>
            <w:r>
              <w:rPr>
                <w:rFonts w:ascii="Arial" w:hAnsi="Arial"/>
                <w:sz w:val="19"/>
              </w:rPr>
              <w:t>Date: _____________________</w:t>
            </w:r>
          </w:p>
        </w:tc>
        <w:tc>
          <w:tcPr>
            <w:tcW w:type="dxa" w:w="4824"/>
          </w:tcPr>
          <w:p>
            <w:r/>
            <w:r>
              <w:rPr>
                <w:rFonts w:ascii="Arial" w:hAnsi="Arial"/>
                <w:sz w:val="19"/>
              </w:rPr>
              <w:t>Date: _____________________</w:t>
            </w:r>
          </w:p>
        </w:tc>
      </w:tr>
    </w:tbl>
    <w:sectPr w:rsidR="00FC693F" w:rsidRPr="0006063C" w:rsidSect="00034616">
      <w:headerReference w:type="default" r:id="rId9"/>
      <w:footerReference w:type="default" r:id="rId10"/>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B7280"/>
        <w:sz w:val="15"/>
      </w:rPr>
      <w:t>Copyright 2026 InnoLead. All Rights Reserved.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938133" cy="256032"/>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938133" cy="256032"/>
                  </a:xfrm>
                  <a:prstGeom prst="rect"/>
                </pic:spPr>
              </pic:pic>
            </a:graphicData>
          </a:graphic>
        </wp:inline>
      </w:drawing>
    </w:r>
  </w:p>
  <w:p>
    <w:pPr>
      <w:pBdr>
        <w:bottom w:val="single" w:sz="6" w:space="4" w:color="D4D8DD"/>
      </w:pBdr>
    </w:pPr>
    <w:r>
      <w:rPr>
        <w:rFonts w:ascii="Arial" w:hAnsi="Arial"/>
        <w:b/>
        <w:color w:val="6B7280"/>
        <w:sz w:val="16"/>
      </w:rPr>
      <w:t>INNOVATION COMMITTEE CHARTER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b w:val="0"/>
      <w:color w:val="0E111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color w:val="0E111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bCs/>
      <w:color w:val="007C8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cs="Arial" w:eastAsia="Arial"/>
      <w:b/>
      <w:color w:val="0E111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s="Arial" w:eastAsia="Arial"/>
      <w:b w:val="0"/>
      <w:color w:val="0E1116"/>
      <w:sz w:val="21"/>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b w:val="0"/>
      <w:color w:val="0E1116"/>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b w:val="0"/>
      <w:color w:val="0E1116"/>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Arial" w:hAnsi="Arial" w:cs="Arial" w:eastAsia="Arial"/>
      <w:b w:val="0"/>
      <w:color w:val="0E1116"/>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