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t>Customer Interview Guide</w:t>
      </w:r>
    </w:p>
    <w:p>
      <w:pPr>
        <w:pBdr>
          <w:bottom w:val="single" w:sz="12" w:space="4" w:color="00B3C7"/>
        </w:pBdr>
      </w:pPr>
      <w:r>
        <w:rPr>
          <w:rFonts w:ascii="Arial" w:hAnsi="Arial"/>
          <w:color w:val="6B7280"/>
          <w:sz w:val="20"/>
        </w:rPr>
        <w:t>Run consistent discovery interviews and capture evidence you can act on</w:t>
      </w:r>
    </w:p>
    <w:p>
      <w:pPr>
        <w:spacing w:after="120"/>
      </w:pPr>
      <w:r>
        <w:rPr>
          <w:i w:val="0"/>
          <w:color w:val="6B7280"/>
        </w:rPr>
        <w:t>Use this guide for problem-discovery and solution-validation interviews. Pair it with the Customer Insight Tracker workbook to log and theme every conversation.</w:t>
      </w:r>
    </w:p>
    <w:p>
      <w:pPr>
        <w:pStyle w:val="Heading1"/>
        <w:spacing w:before="280" w:after="80"/>
      </w:pPr>
      <w:r>
        <w:t>Before the Interview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Field</w:t>
            </w:r>
          </w:p>
        </w:tc>
        <w:tc>
          <w:tcPr>
            <w:tcW w:type="dxa" w:w="63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Entry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Interview ID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[INT-001]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Participant / role / company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[Name, title, organisation]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Segment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[Buyer / user / economic buyer / channel]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Date and interviewer(s)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[dd mmm yyyy] / [names]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Hypothesis under test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[We believe that ... because ...]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Decision this informs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[e.g. whether to build integration X this quarter]</w:t>
            </w:r>
          </w:p>
        </w:tc>
      </w:tr>
    </w:tbl>
    <w:p>
      <w:pPr>
        <w:pStyle w:val="Heading2"/>
        <w:spacing w:before="200" w:after="40"/>
      </w:pPr>
      <w:r>
        <w:t>Preparation checklist</w:t>
      </w:r>
    </w:p>
    <w:p>
      <w:pPr>
        <w:pStyle w:val="ListBullet"/>
        <w:spacing w:after="40"/>
      </w:pPr>
      <w:r>
        <w:t>Confirm consent to take notes and (optionally) record.</w:t>
      </w:r>
    </w:p>
    <w:p>
      <w:pPr>
        <w:pStyle w:val="ListBullet"/>
        <w:spacing w:after="40"/>
      </w:pPr>
      <w:r>
        <w:t>Assign a note-taker so the interviewer can stay present.</w:t>
      </w:r>
    </w:p>
    <w:p>
      <w:pPr>
        <w:pStyle w:val="ListBullet"/>
        <w:spacing w:after="40"/>
      </w:pPr>
      <w:r>
        <w:t>Review prior interviews in the tracker so you do not re-ask settled questions.</w:t>
      </w:r>
    </w:p>
    <w:p>
      <w:pPr>
        <w:pStyle w:val="ListBullet"/>
        <w:spacing w:after="40"/>
      </w:pPr>
      <w:r>
        <w:t>Prepare no more than three hypotheses per session.</w:t>
      </w:r>
    </w:p>
    <w:p>
      <w:pPr>
        <w:pStyle w:val="Heading1"/>
        <w:spacing w:before="280" w:after="80"/>
      </w:pPr>
      <w:r>
        <w:t>Interview Flow (45 minutes)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6"/>
        <w:gridCol w:w="3216"/>
        <w:gridCol w:w="3216"/>
      </w:tblGrid>
      <w:tr>
        <w:tc>
          <w:tcPr>
            <w:tcW w:type="dxa" w:w="1440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Time</w:t>
            </w:r>
          </w:p>
        </w:tc>
        <w:tc>
          <w:tcPr>
            <w:tcW w:type="dxa" w:w="331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489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Purpose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  <w:t>0-5 min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Warm-up and context</w:t>
            </w:r>
          </w:p>
        </w:tc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Build rapport, confirm role and remit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  <w:t>5-15 min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Current state</w:t>
            </w:r>
          </w:p>
        </w:tc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Understand how the job is done today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  <w:t>15-30 min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Pain and workarounds</w:t>
            </w:r>
          </w:p>
        </w:tc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Find the friction and what it costs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  <w:t>30-40 min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Solution reaction</w:t>
            </w:r>
          </w:p>
        </w:tc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Test the concept without leading</w:t>
            </w:r>
          </w:p>
        </w:tc>
      </w:tr>
      <w:tr>
        <w:tc>
          <w:tcPr>
            <w:tcW w:type="dxa" w:w="1440"/>
          </w:tcPr>
          <w:p>
            <w:r/>
            <w:r>
              <w:rPr>
                <w:rFonts w:ascii="Arial" w:hAnsi="Arial"/>
                <w:sz w:val="19"/>
              </w:rPr>
              <w:t>40-45 min</w:t>
            </w:r>
          </w:p>
        </w:tc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Wrap-up and referrals</w:t>
            </w:r>
          </w:p>
        </w:tc>
        <w:tc>
          <w:tcPr>
            <w:tcW w:type="dxa" w:w="4896"/>
          </w:tcPr>
          <w:p>
            <w:r/>
            <w:r>
              <w:rPr>
                <w:rFonts w:ascii="Arial" w:hAnsi="Arial"/>
                <w:sz w:val="19"/>
              </w:rPr>
              <w:t>Next steps, willingness to pilot</w:t>
            </w:r>
          </w:p>
        </w:tc>
      </w:tr>
    </w:tbl>
    <w:p>
      <w:pPr>
        <w:pStyle w:val="Heading1"/>
        <w:spacing w:before="280" w:after="80"/>
      </w:pPr>
      <w:r>
        <w:t>Question Bank</w:t>
      </w:r>
    </w:p>
    <w:p>
      <w:pPr>
        <w:pStyle w:val="Heading2"/>
        <w:spacing w:before="200" w:after="40"/>
      </w:pPr>
      <w:r>
        <w:t>Current state</w:t>
      </w:r>
    </w:p>
    <w:p>
      <w:pPr>
        <w:pStyle w:val="ListBullet"/>
        <w:spacing w:after="40"/>
      </w:pPr>
      <w:r>
        <w:t>Walk me through the last time you had to [job to be done]. What happened, step by step?</w:t>
      </w:r>
    </w:p>
    <w:p>
      <w:pPr>
        <w:pStyle w:val="ListBullet"/>
        <w:spacing w:after="40"/>
      </w:pPr>
      <w:r>
        <w:t>Who else is involved, and where does it hand off?</w:t>
      </w:r>
    </w:p>
    <w:p>
      <w:pPr>
        <w:pStyle w:val="ListBullet"/>
        <w:spacing w:after="40"/>
      </w:pPr>
      <w:r>
        <w:t>What tools do you use today, and what did you use before that?</w:t>
      </w:r>
    </w:p>
    <w:p>
      <w:pPr>
        <w:pStyle w:val="Heading2"/>
        <w:spacing w:before="200" w:after="40"/>
      </w:pPr>
      <w:r>
        <w:t>Pain and cost</w:t>
      </w:r>
    </w:p>
    <w:p>
      <w:pPr>
        <w:pStyle w:val="ListBullet"/>
        <w:spacing w:after="40"/>
      </w:pPr>
      <w:r>
        <w:t>What is the most frustrating part of that process?</w:t>
      </w:r>
    </w:p>
    <w:p>
      <w:pPr>
        <w:pStyle w:val="ListBullet"/>
        <w:spacing w:after="40"/>
      </w:pPr>
      <w:r>
        <w:t>How often does that happen, and how long does it take when it does?</w:t>
      </w:r>
    </w:p>
    <w:p>
      <w:pPr>
        <w:pStyle w:val="ListBullet"/>
        <w:spacing w:after="40"/>
      </w:pPr>
      <w:r>
        <w:t>What have you already tried to fix it? Why did that not stick?</w:t>
      </w:r>
    </w:p>
    <w:p>
      <w:pPr>
        <w:pStyle w:val="ListBullet"/>
        <w:spacing w:after="40"/>
      </w:pPr>
      <w:r>
        <w:t>What does it cost you when it goes wrong - time, money, risk, reputation?</w:t>
      </w:r>
    </w:p>
    <w:p>
      <w:pPr>
        <w:pStyle w:val="Heading2"/>
        <w:spacing w:before="200" w:after="40"/>
      </w:pPr>
      <w:r>
        <w:t>Solution reaction (do not pitch until here)</w:t>
      </w:r>
    </w:p>
    <w:p>
      <w:pPr>
        <w:pStyle w:val="ListBullet"/>
        <w:spacing w:after="40"/>
      </w:pPr>
      <w:r>
        <w:t>If this existed tomorrow, where would it fit in the process you described?</w:t>
      </w:r>
    </w:p>
    <w:p>
      <w:pPr>
        <w:pStyle w:val="ListBullet"/>
        <w:spacing w:after="40"/>
      </w:pPr>
      <w:r>
        <w:t>What would have to be true for you to use it weekly?</w:t>
      </w:r>
    </w:p>
    <w:p>
      <w:pPr>
        <w:pStyle w:val="ListBullet"/>
        <w:spacing w:after="40"/>
      </w:pPr>
      <w:r>
        <w:t>What would stop this from being adopted in your organisation?</w:t>
      </w:r>
    </w:p>
    <w:p>
      <w:pPr>
        <w:pStyle w:val="ListBullet"/>
        <w:spacing w:after="40"/>
      </w:pPr>
      <w:r>
        <w:t>Who would need to approve it, and what would they ask?</w:t>
      </w:r>
    </w:p>
    <w:p>
      <w:pPr>
        <w:pStyle w:val="Heading2"/>
        <w:spacing w:before="200" w:after="40"/>
      </w:pPr>
      <w:r>
        <w:t>Commitment signals</w:t>
      </w:r>
    </w:p>
    <w:p>
      <w:pPr>
        <w:pStyle w:val="ListBullet"/>
        <w:spacing w:after="40"/>
      </w:pPr>
      <w:r>
        <w:t>Would you be willing to join a four-week pilot with two of your team?</w:t>
      </w:r>
    </w:p>
    <w:p>
      <w:pPr>
        <w:pStyle w:val="ListBullet"/>
        <w:spacing w:after="40"/>
      </w:pPr>
      <w:r>
        <w:t>If we ran that pilot, what would success look like for you?</w:t>
      </w:r>
    </w:p>
    <w:p>
      <w:pPr>
        <w:pStyle w:val="ListBullet"/>
        <w:spacing w:after="40"/>
      </w:pPr>
      <w:r>
        <w:t>Who else should I speak to about this?</w:t>
      </w:r>
    </w:p>
    <w:p>
      <w:pPr>
        <w:pStyle w:val="Heading1"/>
        <w:spacing w:before="280" w:after="80"/>
      </w:pPr>
      <w:r>
        <w:t>Interviewing Rules</w:t>
      </w:r>
    </w:p>
    <w:p>
      <w:pPr>
        <w:pStyle w:val="ListBullet"/>
        <w:spacing w:after="40"/>
      </w:pPr>
      <w:r>
        <w:t>Ask about past behaviour, not future intentions - "what did you do" beats "would you use".</w:t>
      </w:r>
    </w:p>
    <w:p>
      <w:pPr>
        <w:pStyle w:val="ListBullet"/>
        <w:spacing w:after="40"/>
      </w:pPr>
      <w:r>
        <w:t>Never explain the idea in the first half of the interview.</w:t>
      </w:r>
    </w:p>
    <w:p>
      <w:pPr>
        <w:pStyle w:val="ListBullet"/>
        <w:spacing w:after="40"/>
      </w:pPr>
      <w:r>
        <w:t>Follow every strong emotion with "tell me more about that".</w:t>
      </w:r>
    </w:p>
    <w:p>
      <w:pPr>
        <w:pStyle w:val="ListBullet"/>
        <w:spacing w:after="40"/>
      </w:pPr>
      <w:r>
        <w:t>Stay silent for three seconds after an answer; the second answer is usually the honest one.</w:t>
      </w:r>
    </w:p>
    <w:p>
      <w:pPr>
        <w:pStyle w:val="ListBullet"/>
        <w:spacing w:after="40"/>
      </w:pPr>
      <w:r>
        <w:t>Record verbatim quotes, not your interpretation of them.</w:t>
      </w:r>
    </w:p>
    <w:p>
      <w:pPr>
        <w:pStyle w:val="Heading1"/>
        <w:spacing w:before="280" w:after="80"/>
      </w:pPr>
      <w:r>
        <w:t>Debrief - Complete Within 24 Hours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3312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Prompt</w:t>
            </w:r>
          </w:p>
        </w:tc>
        <w:tc>
          <w:tcPr>
            <w:tcW w:type="dxa" w:w="6336"/>
            <w:shd w:val="clear" w:fill="0E1116"/>
          </w:tcPr>
          <w:p>
            <w:r/>
            <w:r>
              <w:rPr>
                <w:rFonts w:ascii="Arial" w:hAnsi="Arial"/>
                <w:b/>
                <w:color w:val="FFFFFF"/>
                <w:sz w:val="19"/>
              </w:rPr>
              <w:t>Capture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Top three verbatim quotes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[Quote 1] / [Quote 2] / [Quote 3]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Problem severity (1-5)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Current workaround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Willingness to pay / pilot signal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[None / weak / strong - evidence]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Hypothesis result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Supported / Refuted / Inconclusive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Surprise or new hypothesis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  <w:tr>
        <w:tc>
          <w:tcPr>
            <w:tcW w:type="dxa" w:w="3312"/>
          </w:tcPr>
          <w:p>
            <w:r/>
            <w:r>
              <w:rPr>
                <w:rFonts w:ascii="Arial" w:hAnsi="Arial"/>
                <w:sz w:val="19"/>
              </w:rPr>
              <w:t>Action and owner</w:t>
            </w:r>
          </w:p>
        </w:tc>
        <w:tc>
          <w:tcPr>
            <w:tcW w:type="dxa" w:w="6336"/>
          </w:tcPr>
          <w:p>
            <w:r/>
            <w:r>
              <w:rPr>
                <w:rFonts w:ascii="Arial" w:hAnsi="Arial"/>
                <w:sz w:val="19"/>
              </w:rPr>
              <w:t>[ ]</w:t>
            </w:r>
          </w:p>
        </w:tc>
      </w:tr>
    </w:tbl>
    <w:p>
      <w:pPr>
        <w:spacing w:after="120"/>
      </w:pPr>
      <w:r>
        <w:rPr>
          <w:i w:val="0"/>
          <w:color w:val="6B7280"/>
        </w:rPr>
        <w:t>Transfer this debrief into the Customer Insight Tracker the same day so themes stay countable.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6B7280"/>
        <w:sz w:val="15"/>
      </w:rPr>
      <w:t>Copyright 2026 InnoLead. All Rights Reserved.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drawing>
        <wp:inline xmlns:a="http://schemas.openxmlformats.org/drawingml/2006/main" xmlns:pic="http://schemas.openxmlformats.org/drawingml/2006/picture">
          <wp:extent cx="938133" cy="256032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8133" cy="256032"/>
                  </a:xfrm>
                  <a:prstGeom prst="rect"/>
                </pic:spPr>
              </pic:pic>
            </a:graphicData>
          </a:graphic>
        </wp:inline>
      </w:drawing>
    </w:r>
  </w:p>
  <w:p>
    <w:pPr>
      <w:pBdr>
        <w:bottom w:val="single" w:sz="6" w:space="4" w:color="D4D8DD"/>
      </w:pBdr>
    </w:pPr>
    <w:r>
      <w:rPr>
        <w:rFonts w:ascii="Arial" w:hAnsi="Arial"/>
        <w:b/>
        <w:color w:val="6B7280"/>
        <w:sz w:val="16"/>
      </w:rPr>
      <w:t>CUSTOMER INTERVIEW GUIDE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b w:val="0"/>
      <w:color w:val="0E111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0E1116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007C8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 w:cs="Arial" w:eastAsia="Arial"/>
      <w:b/>
      <w:color w:val="0E1116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b w:val="0"/>
      <w:color w:val="0E1116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hAnsi="Arial" w:cs="Arial" w:eastAsia="Arial"/>
      <w:b w:val="0"/>
      <w:color w:val="0E1116"/>
      <w:sz w:val="2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